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5B4" w:rsidRPr="00794C7B" w:rsidRDefault="005144E0" w:rsidP="001A16E6">
      <w:pPr>
        <w:pStyle w:val="GvdeMetni"/>
        <w:widowControl/>
        <w:tabs>
          <w:tab w:val="center" w:pos="4465"/>
        </w:tabs>
        <w:rPr>
          <w:rFonts w:cs="Calibri"/>
          <w:lang w:val="en-GB"/>
        </w:rPr>
      </w:pPr>
      <w:r w:rsidRPr="00794C7B">
        <w:rPr>
          <w:noProof/>
          <w:lang w:val="en-GB" w:bidi="ar-SA"/>
        </w:rPr>
        <w:drawing>
          <wp:anchor distT="0" distB="0" distL="114300" distR="114300" simplePos="0" relativeHeight="251659264" behindDoc="1" locked="0" layoutInCell="1" allowOverlap="1" wp14:anchorId="184B2ED7" wp14:editId="1750AC99">
            <wp:simplePos x="0" y="0"/>
            <wp:positionH relativeFrom="page">
              <wp:posOffset>-12700</wp:posOffset>
            </wp:positionH>
            <wp:positionV relativeFrom="paragraph">
              <wp:posOffset>-983740</wp:posOffset>
            </wp:positionV>
            <wp:extent cx="7561385" cy="10695701"/>
            <wp:effectExtent l="0" t="0" r="190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1385" cy="10695701"/>
                    </a:xfrm>
                    <a:prstGeom prst="rect">
                      <a:avLst/>
                    </a:prstGeom>
                    <a:noFill/>
                    <a:ln>
                      <a:noFill/>
                    </a:ln>
                  </pic:spPr>
                </pic:pic>
              </a:graphicData>
            </a:graphic>
            <wp14:sizeRelH relativeFrom="page">
              <wp14:pctWidth>0</wp14:pctWidth>
            </wp14:sizeRelH>
            <wp14:sizeRelV relativeFrom="page">
              <wp14:pctHeight>0</wp14:pctHeight>
            </wp14:sizeRelV>
          </wp:anchor>
        </w:drawing>
      </w:r>
      <w:r w:rsidR="00D658DD" w:rsidRPr="00794C7B">
        <w:rPr>
          <w:rFonts w:cs="Calibri"/>
          <w:lang w:val="en-GB"/>
        </w:rPr>
        <w:tab/>
      </w:r>
    </w:p>
    <w:p w:rsidR="00FC45B4" w:rsidRPr="00794C7B" w:rsidRDefault="00FC45B4" w:rsidP="001A16E6">
      <w:pPr>
        <w:pStyle w:val="GvdeMetni"/>
        <w:widowControl/>
        <w:rPr>
          <w:rFonts w:cs="Calibri"/>
          <w:lang w:val="en-GB"/>
        </w:rPr>
      </w:pPr>
    </w:p>
    <w:p w:rsidR="00FC45B4" w:rsidRPr="00794C7B" w:rsidRDefault="00FC45B4" w:rsidP="001A16E6">
      <w:pPr>
        <w:pStyle w:val="GvdeMetni"/>
        <w:widowControl/>
        <w:rPr>
          <w:rFonts w:cs="Calibri"/>
          <w:lang w:val="en-GB"/>
        </w:rPr>
      </w:pPr>
    </w:p>
    <w:p w:rsidR="00FC45B4" w:rsidRPr="00794C7B" w:rsidRDefault="00FC45B4" w:rsidP="001A16E6">
      <w:pPr>
        <w:pStyle w:val="GvdeMetni"/>
        <w:widowControl/>
        <w:rPr>
          <w:rFonts w:cs="Calibri"/>
          <w:lang w:val="en-GB"/>
        </w:rPr>
      </w:pPr>
    </w:p>
    <w:p w:rsidR="00FC45B4" w:rsidRPr="00794C7B" w:rsidRDefault="00FC45B4" w:rsidP="001A16E6">
      <w:pPr>
        <w:pStyle w:val="GvdeMetni"/>
        <w:widowControl/>
        <w:rPr>
          <w:rFonts w:cs="Calibri"/>
          <w:lang w:val="en-GB"/>
        </w:rPr>
      </w:pPr>
    </w:p>
    <w:p w:rsidR="00FC45B4" w:rsidRPr="00794C7B" w:rsidRDefault="00C47327" w:rsidP="00C47327">
      <w:pPr>
        <w:pStyle w:val="GvdeMetni"/>
        <w:widowControl/>
        <w:tabs>
          <w:tab w:val="left" w:pos="8070"/>
        </w:tabs>
        <w:rPr>
          <w:rFonts w:cs="Calibri"/>
          <w:lang w:val="en-GB"/>
        </w:rPr>
      </w:pPr>
      <w:r w:rsidRPr="00794C7B">
        <w:rPr>
          <w:rFonts w:cs="Calibri"/>
          <w:lang w:val="en-GB"/>
        </w:rPr>
        <w:tab/>
      </w:r>
    </w:p>
    <w:p w:rsidR="00FC45B4" w:rsidRPr="00794C7B" w:rsidRDefault="00FC45B4" w:rsidP="001A16E6">
      <w:pPr>
        <w:pStyle w:val="GvdeMetni"/>
        <w:widowControl/>
        <w:spacing w:before="7"/>
        <w:rPr>
          <w:rFonts w:cs="Calibri"/>
          <w:sz w:val="27"/>
          <w:lang w:val="en-GB"/>
        </w:rPr>
      </w:pPr>
    </w:p>
    <w:p w:rsidR="00FC45B4" w:rsidRPr="00794C7B" w:rsidRDefault="008F2714" w:rsidP="001A16E6">
      <w:pPr>
        <w:widowControl/>
        <w:spacing w:before="100" w:line="369" w:lineRule="auto"/>
        <w:ind w:left="1786" w:right="115" w:firstLine="1049"/>
        <w:jc w:val="right"/>
        <w:rPr>
          <w:rFonts w:cs="Calibri"/>
          <w:b/>
          <w:sz w:val="44"/>
          <w:lang w:val="en-GB"/>
        </w:rPr>
      </w:pPr>
      <w:r w:rsidRPr="00794C7B">
        <w:rPr>
          <w:rFonts w:cs="Calibri"/>
          <w:b/>
          <w:sz w:val="44"/>
          <w:lang w:val="en-GB"/>
        </w:rPr>
        <w:t>Directorate</w:t>
      </w:r>
      <w:r w:rsidR="00F34A1D" w:rsidRPr="00794C7B">
        <w:rPr>
          <w:rFonts w:cs="Calibri"/>
          <w:b/>
          <w:sz w:val="44"/>
          <w:lang w:val="en-GB"/>
        </w:rPr>
        <w:t xml:space="preserve"> for EU Affairs</w:t>
      </w:r>
      <w:r w:rsidR="00F34A1D" w:rsidRPr="00794C7B">
        <w:rPr>
          <w:rFonts w:cs="Calibri"/>
          <w:b/>
          <w:w w:val="99"/>
          <w:sz w:val="44"/>
          <w:lang w:val="en-GB"/>
        </w:rPr>
        <w:t xml:space="preserve"> </w:t>
      </w:r>
      <w:r w:rsidR="00F34A1D" w:rsidRPr="00794C7B">
        <w:rPr>
          <w:rFonts w:cs="Calibri"/>
          <w:b/>
          <w:sz w:val="44"/>
          <w:lang w:val="en-GB"/>
        </w:rPr>
        <w:t>Central Finance and Contracts Unit</w:t>
      </w:r>
      <w:r w:rsidR="00F34A1D" w:rsidRPr="00794C7B">
        <w:rPr>
          <w:rFonts w:cs="Calibri"/>
          <w:b/>
          <w:w w:val="99"/>
          <w:sz w:val="44"/>
          <w:lang w:val="en-GB"/>
        </w:rPr>
        <w:t xml:space="preserve"> </w:t>
      </w:r>
      <w:r w:rsidR="00F34A1D" w:rsidRPr="00794C7B">
        <w:rPr>
          <w:rFonts w:cs="Calibri"/>
          <w:b/>
          <w:sz w:val="44"/>
          <w:lang w:val="en-GB"/>
        </w:rPr>
        <w:t xml:space="preserve">Delegation of the EU to </w:t>
      </w:r>
      <w:proofErr w:type="spellStart"/>
      <w:r w:rsidR="00794C7B">
        <w:rPr>
          <w:rFonts w:cs="Calibri"/>
          <w:b/>
          <w:sz w:val="44"/>
          <w:lang w:val="en-GB"/>
        </w:rPr>
        <w:t>Türkiye</w:t>
      </w:r>
      <w:proofErr w:type="spellEnd"/>
    </w:p>
    <w:p w:rsidR="00FC45B4" w:rsidRPr="00794C7B" w:rsidRDefault="00FC45B4" w:rsidP="001A16E6">
      <w:pPr>
        <w:widowControl/>
        <w:rPr>
          <w:rFonts w:cs="Calibri"/>
          <w:b/>
          <w:sz w:val="50"/>
          <w:lang w:val="en-GB"/>
        </w:rPr>
      </w:pPr>
    </w:p>
    <w:p w:rsidR="00FC45B4" w:rsidRPr="00794C7B" w:rsidRDefault="00FC45B4" w:rsidP="001A16E6">
      <w:pPr>
        <w:widowControl/>
        <w:rPr>
          <w:rFonts w:cs="Calibri"/>
          <w:b/>
          <w:sz w:val="50"/>
          <w:lang w:val="en-GB"/>
        </w:rPr>
      </w:pPr>
    </w:p>
    <w:p w:rsidR="00FC45B4" w:rsidRPr="00794C7B" w:rsidRDefault="00FC45B4" w:rsidP="001A16E6">
      <w:pPr>
        <w:widowControl/>
        <w:rPr>
          <w:rFonts w:cs="Calibri"/>
          <w:b/>
          <w:sz w:val="50"/>
          <w:lang w:val="en-GB"/>
        </w:rPr>
      </w:pPr>
    </w:p>
    <w:p w:rsidR="00FC45B4" w:rsidRPr="00794C7B" w:rsidRDefault="00FC45B4" w:rsidP="001A16E6">
      <w:pPr>
        <w:widowControl/>
        <w:rPr>
          <w:rFonts w:cs="Calibri"/>
          <w:b/>
          <w:sz w:val="50"/>
          <w:lang w:val="en-GB"/>
        </w:rPr>
      </w:pPr>
    </w:p>
    <w:p w:rsidR="00DD3660" w:rsidRDefault="001C25DC" w:rsidP="001A16E6">
      <w:pPr>
        <w:widowControl/>
        <w:spacing w:before="120"/>
        <w:ind w:left="1701"/>
        <w:rPr>
          <w:rFonts w:cs="Calibri"/>
          <w:b/>
          <w:sz w:val="36"/>
          <w:szCs w:val="36"/>
          <w:lang w:val="en-GB"/>
        </w:rPr>
      </w:pPr>
      <w:r w:rsidRPr="001C25DC">
        <w:rPr>
          <w:rFonts w:cs="Calibri"/>
          <w:b/>
          <w:sz w:val="36"/>
          <w:szCs w:val="36"/>
          <w:lang w:val="en-GB"/>
        </w:rPr>
        <w:t xml:space="preserve">TR2022/W2T2/A03/OT01-1 </w:t>
      </w:r>
    </w:p>
    <w:p w:rsidR="00FC45B4" w:rsidRPr="00794C7B" w:rsidRDefault="004C00A3" w:rsidP="001A16E6">
      <w:pPr>
        <w:widowControl/>
        <w:spacing w:before="120"/>
        <w:ind w:left="1701"/>
        <w:rPr>
          <w:rFonts w:cs="Calibri"/>
          <w:b/>
          <w:sz w:val="36"/>
          <w:szCs w:val="36"/>
          <w:lang w:val="en-GB"/>
        </w:rPr>
      </w:pPr>
      <w:r w:rsidRPr="00794C7B">
        <w:rPr>
          <w:rFonts w:cs="Calibri"/>
          <w:b/>
          <w:sz w:val="36"/>
          <w:szCs w:val="36"/>
          <w:lang w:val="en-GB"/>
        </w:rPr>
        <w:t>202</w:t>
      </w:r>
      <w:r w:rsidR="0051152D" w:rsidRPr="00794C7B">
        <w:rPr>
          <w:rFonts w:cs="Calibri"/>
          <w:b/>
          <w:sz w:val="36"/>
          <w:szCs w:val="36"/>
          <w:lang w:val="en-GB"/>
        </w:rPr>
        <w:t>4</w:t>
      </w:r>
      <w:r w:rsidRPr="00794C7B">
        <w:rPr>
          <w:rFonts w:cs="Calibri"/>
          <w:b/>
          <w:sz w:val="36"/>
          <w:szCs w:val="36"/>
          <w:lang w:val="en-GB"/>
        </w:rPr>
        <w:t>-202</w:t>
      </w:r>
      <w:r w:rsidR="0051152D" w:rsidRPr="00794C7B">
        <w:rPr>
          <w:rFonts w:cs="Calibri"/>
          <w:b/>
          <w:sz w:val="36"/>
          <w:szCs w:val="36"/>
          <w:lang w:val="en-GB"/>
        </w:rPr>
        <w:t>5</w:t>
      </w:r>
      <w:r w:rsidR="00F34A1D" w:rsidRPr="00794C7B">
        <w:rPr>
          <w:rFonts w:cs="Calibri"/>
          <w:b/>
          <w:sz w:val="36"/>
          <w:szCs w:val="36"/>
          <w:lang w:val="en-GB"/>
        </w:rPr>
        <w:t xml:space="preserve"> ACADEMIC YEAR</w:t>
      </w:r>
    </w:p>
    <w:p w:rsidR="009F1B44" w:rsidRPr="00794C7B" w:rsidRDefault="00F34A1D" w:rsidP="001A16E6">
      <w:pPr>
        <w:widowControl/>
        <w:spacing w:before="272" w:line="273" w:lineRule="auto"/>
        <w:ind w:left="1701"/>
        <w:rPr>
          <w:rFonts w:cs="Calibri"/>
          <w:b/>
          <w:sz w:val="36"/>
          <w:szCs w:val="36"/>
          <w:lang w:val="en-GB"/>
        </w:rPr>
      </w:pPr>
      <w:r w:rsidRPr="00794C7B">
        <w:rPr>
          <w:rFonts w:cs="Calibri"/>
          <w:b/>
          <w:sz w:val="36"/>
          <w:szCs w:val="36"/>
          <w:lang w:val="en-GB"/>
        </w:rPr>
        <w:t>JEAN MONNET SCHOLARSHIP PROGRAMME</w:t>
      </w:r>
    </w:p>
    <w:p w:rsidR="00FC45B4" w:rsidRPr="00794C7B" w:rsidRDefault="00F34A1D" w:rsidP="001A16E6">
      <w:pPr>
        <w:widowControl/>
        <w:spacing w:before="272" w:line="273" w:lineRule="auto"/>
        <w:ind w:left="1701"/>
        <w:rPr>
          <w:rFonts w:cs="Calibri"/>
          <w:b/>
          <w:sz w:val="36"/>
          <w:szCs w:val="20"/>
          <w:lang w:val="en-GB"/>
        </w:rPr>
      </w:pPr>
      <w:r w:rsidRPr="00794C7B">
        <w:rPr>
          <w:rFonts w:cs="Calibri"/>
          <w:b/>
          <w:sz w:val="36"/>
          <w:szCs w:val="20"/>
          <w:lang w:val="en-GB"/>
        </w:rPr>
        <w:t>CLARIFICATIONS</w:t>
      </w:r>
    </w:p>
    <w:p w:rsidR="00FC45B4" w:rsidRPr="00794C7B" w:rsidRDefault="00FC45B4" w:rsidP="001A16E6">
      <w:pPr>
        <w:widowControl/>
        <w:rPr>
          <w:rFonts w:cs="Calibri"/>
          <w:sz w:val="40"/>
          <w:lang w:val="en-GB"/>
        </w:rPr>
        <w:sectPr w:rsidR="00FC45B4" w:rsidRPr="00794C7B">
          <w:headerReference w:type="default" r:id="rId9"/>
          <w:footerReference w:type="default" r:id="rId10"/>
          <w:type w:val="continuous"/>
          <w:pgSz w:w="11910" w:h="16840"/>
          <w:pgMar w:top="1580" w:right="1300" w:bottom="280" w:left="1680" w:header="708" w:footer="708" w:gutter="0"/>
          <w:cols w:space="708"/>
        </w:sectPr>
      </w:pPr>
    </w:p>
    <w:p w:rsidR="003C4841" w:rsidRPr="00794C7B" w:rsidRDefault="003C4841" w:rsidP="001A16E6">
      <w:pPr>
        <w:widowControl/>
        <w:spacing w:before="71"/>
        <w:ind w:left="2753"/>
        <w:rPr>
          <w:rFonts w:cs="Calibri"/>
          <w:b/>
          <w:sz w:val="36"/>
          <w:lang w:val="en-GB"/>
        </w:rPr>
      </w:pPr>
    </w:p>
    <w:p w:rsidR="00FC45B4" w:rsidRPr="00794C7B" w:rsidRDefault="00F34A1D" w:rsidP="001A16E6">
      <w:pPr>
        <w:widowControl/>
        <w:spacing w:before="71"/>
        <w:ind w:left="2753"/>
        <w:rPr>
          <w:rFonts w:cs="Calibri"/>
          <w:b/>
          <w:sz w:val="36"/>
          <w:lang w:val="en-GB"/>
        </w:rPr>
      </w:pPr>
      <w:r w:rsidRPr="00794C7B">
        <w:rPr>
          <w:rFonts w:cs="Calibri"/>
          <w:b/>
          <w:sz w:val="36"/>
          <w:lang w:val="en-GB"/>
        </w:rPr>
        <w:t>IMPORTANT NOTICE</w:t>
      </w:r>
    </w:p>
    <w:p w:rsidR="00FC45B4" w:rsidRPr="00794C7B" w:rsidRDefault="00F34A1D" w:rsidP="001A16E6">
      <w:pPr>
        <w:pStyle w:val="GvdeMetni"/>
        <w:widowControl/>
        <w:spacing w:before="275"/>
        <w:ind w:left="118" w:right="113"/>
        <w:jc w:val="both"/>
        <w:rPr>
          <w:rFonts w:cs="Calibri"/>
          <w:sz w:val="22"/>
          <w:szCs w:val="22"/>
          <w:lang w:val="en-GB"/>
        </w:rPr>
      </w:pPr>
      <w:r w:rsidRPr="00794C7B">
        <w:rPr>
          <w:rFonts w:cs="Calibri"/>
          <w:sz w:val="22"/>
          <w:szCs w:val="22"/>
          <w:lang w:val="en-GB"/>
        </w:rPr>
        <w:t xml:space="preserve">The questions received from potential applicants for the </w:t>
      </w:r>
      <w:bookmarkStart w:id="0" w:name="_Hlk529689600"/>
      <w:r w:rsidR="00372884" w:rsidRPr="00794C7B">
        <w:rPr>
          <w:rFonts w:cs="Calibri"/>
          <w:sz w:val="22"/>
          <w:szCs w:val="22"/>
          <w:lang w:val="en-GB"/>
        </w:rPr>
        <w:t>202</w:t>
      </w:r>
      <w:r w:rsidR="0051152D" w:rsidRPr="00794C7B">
        <w:rPr>
          <w:rFonts w:cs="Calibri"/>
          <w:sz w:val="22"/>
          <w:szCs w:val="22"/>
          <w:lang w:val="en-GB"/>
        </w:rPr>
        <w:t>4</w:t>
      </w:r>
      <w:r w:rsidR="00372884" w:rsidRPr="00794C7B">
        <w:rPr>
          <w:rFonts w:cs="Calibri"/>
          <w:sz w:val="22"/>
          <w:szCs w:val="22"/>
          <w:lang w:val="en-GB"/>
        </w:rPr>
        <w:t>-202</w:t>
      </w:r>
      <w:r w:rsidR="0051152D" w:rsidRPr="00794C7B">
        <w:rPr>
          <w:rFonts w:cs="Calibri"/>
          <w:sz w:val="22"/>
          <w:szCs w:val="22"/>
          <w:lang w:val="en-GB"/>
        </w:rPr>
        <w:t>5</w:t>
      </w:r>
      <w:r w:rsidRPr="00794C7B">
        <w:rPr>
          <w:rFonts w:cs="Calibri"/>
          <w:sz w:val="22"/>
          <w:szCs w:val="22"/>
          <w:lang w:val="en-GB"/>
        </w:rPr>
        <w:t xml:space="preserve"> </w:t>
      </w:r>
      <w:bookmarkEnd w:id="0"/>
      <w:r w:rsidRPr="00794C7B">
        <w:rPr>
          <w:rFonts w:cs="Calibri"/>
          <w:sz w:val="22"/>
          <w:szCs w:val="22"/>
          <w:lang w:val="en-GB"/>
        </w:rPr>
        <w:t xml:space="preserve">academic year Jean Monnet Scholarship Programme together with their answers can be seen below. These questions and answers are valid for the </w:t>
      </w:r>
      <w:r w:rsidR="00372884" w:rsidRPr="00794C7B">
        <w:rPr>
          <w:rFonts w:cs="Calibri"/>
          <w:sz w:val="22"/>
          <w:szCs w:val="22"/>
          <w:lang w:val="en-GB"/>
        </w:rPr>
        <w:t>202</w:t>
      </w:r>
      <w:r w:rsidR="00B008F6" w:rsidRPr="00794C7B">
        <w:rPr>
          <w:rFonts w:cs="Calibri"/>
          <w:sz w:val="22"/>
          <w:szCs w:val="22"/>
          <w:lang w:val="en-GB"/>
        </w:rPr>
        <w:t>4</w:t>
      </w:r>
      <w:r w:rsidR="00372884" w:rsidRPr="00794C7B">
        <w:rPr>
          <w:rFonts w:cs="Calibri"/>
          <w:sz w:val="22"/>
          <w:szCs w:val="22"/>
          <w:lang w:val="en-GB"/>
        </w:rPr>
        <w:t>-202</w:t>
      </w:r>
      <w:r w:rsidR="00B008F6" w:rsidRPr="00794C7B">
        <w:rPr>
          <w:rFonts w:cs="Calibri"/>
          <w:sz w:val="22"/>
          <w:szCs w:val="22"/>
          <w:lang w:val="en-GB"/>
        </w:rPr>
        <w:t>5</w:t>
      </w:r>
      <w:r w:rsidRPr="00794C7B">
        <w:rPr>
          <w:rFonts w:cs="Calibri"/>
          <w:sz w:val="22"/>
          <w:szCs w:val="22"/>
          <w:lang w:val="en-GB"/>
        </w:rPr>
        <w:t xml:space="preserve"> academic year </w:t>
      </w:r>
      <w:r w:rsidR="00E72D4C" w:rsidRPr="00794C7B">
        <w:rPr>
          <w:rFonts w:cs="Calibri"/>
          <w:sz w:val="22"/>
          <w:szCs w:val="22"/>
          <w:lang w:val="en-GB"/>
        </w:rPr>
        <w:t>Announcement</w:t>
      </w:r>
      <w:r w:rsidRPr="00794C7B">
        <w:rPr>
          <w:rFonts w:cs="Calibri"/>
          <w:sz w:val="22"/>
          <w:szCs w:val="22"/>
          <w:lang w:val="en-GB"/>
        </w:rPr>
        <w:t xml:space="preserve"> and the questions and </w:t>
      </w:r>
      <w:r w:rsidR="00041B3D" w:rsidRPr="00794C7B">
        <w:rPr>
          <w:rFonts w:cs="Calibri"/>
          <w:sz w:val="22"/>
          <w:szCs w:val="22"/>
          <w:lang w:val="en-GB"/>
        </w:rPr>
        <w:t xml:space="preserve">clarifications </w:t>
      </w:r>
      <w:r w:rsidRPr="00794C7B">
        <w:rPr>
          <w:rFonts w:cs="Calibri"/>
          <w:sz w:val="22"/>
          <w:szCs w:val="22"/>
          <w:lang w:val="en-GB"/>
        </w:rPr>
        <w:t>of the previous academic years do not set a precedent for the mentioned academic year.</w:t>
      </w:r>
    </w:p>
    <w:p w:rsidR="00FC45B4" w:rsidRPr="00794C7B" w:rsidRDefault="00FC45B4" w:rsidP="001A16E6">
      <w:pPr>
        <w:widowControl/>
        <w:rPr>
          <w:rFonts w:cs="Calibri"/>
          <w:lang w:val="en-GB"/>
        </w:rPr>
      </w:pPr>
    </w:p>
    <w:p w:rsidR="00FC45B4" w:rsidRPr="00794C7B" w:rsidRDefault="00F34A1D" w:rsidP="001A16E6">
      <w:pPr>
        <w:pStyle w:val="GvdeMetni"/>
        <w:widowControl/>
        <w:ind w:left="118" w:right="113"/>
        <w:jc w:val="both"/>
        <w:rPr>
          <w:rFonts w:cs="Calibri"/>
          <w:sz w:val="22"/>
          <w:szCs w:val="22"/>
          <w:lang w:val="en-GB"/>
        </w:rPr>
      </w:pPr>
      <w:r w:rsidRPr="00794C7B">
        <w:rPr>
          <w:rFonts w:cs="Calibri"/>
          <w:sz w:val="22"/>
          <w:szCs w:val="22"/>
          <w:lang w:val="en-GB"/>
        </w:rPr>
        <w:t xml:space="preserve">Clarifications constitute an essential part of the </w:t>
      </w:r>
      <w:r w:rsidR="00E72D4C" w:rsidRPr="00794C7B">
        <w:rPr>
          <w:rFonts w:cs="Calibri"/>
          <w:sz w:val="22"/>
          <w:szCs w:val="22"/>
          <w:lang w:val="en-GB"/>
        </w:rPr>
        <w:t>Announcement</w:t>
      </w:r>
      <w:r w:rsidRPr="00794C7B">
        <w:rPr>
          <w:rFonts w:cs="Calibri"/>
          <w:sz w:val="22"/>
          <w:szCs w:val="22"/>
          <w:lang w:val="en-GB"/>
        </w:rPr>
        <w:t>; for this reason, the applicants must read the Clarifications document very carefully and pay attention to the details while applying to the</w:t>
      </w:r>
      <w:r w:rsidRPr="00794C7B">
        <w:rPr>
          <w:rFonts w:cs="Calibri"/>
          <w:spacing w:val="-8"/>
          <w:sz w:val="22"/>
          <w:szCs w:val="22"/>
          <w:lang w:val="en-GB"/>
        </w:rPr>
        <w:t xml:space="preserve"> </w:t>
      </w:r>
      <w:r w:rsidRPr="00794C7B">
        <w:rPr>
          <w:rFonts w:cs="Calibri"/>
          <w:sz w:val="22"/>
          <w:szCs w:val="22"/>
          <w:lang w:val="en-GB"/>
        </w:rPr>
        <w:t>scholarship.</w:t>
      </w:r>
    </w:p>
    <w:p w:rsidR="00FC45B4" w:rsidRPr="00794C7B" w:rsidRDefault="00FC45B4" w:rsidP="001A16E6">
      <w:pPr>
        <w:widowControl/>
        <w:spacing w:before="1"/>
        <w:rPr>
          <w:rFonts w:cs="Calibri"/>
          <w:lang w:val="en-GB"/>
        </w:rPr>
      </w:pPr>
    </w:p>
    <w:p w:rsidR="000C1433" w:rsidRPr="00794C7B" w:rsidRDefault="00F34A1D" w:rsidP="001A16E6">
      <w:pPr>
        <w:pStyle w:val="GvdeMetni"/>
        <w:widowControl/>
        <w:ind w:left="118" w:right="112"/>
        <w:jc w:val="both"/>
        <w:rPr>
          <w:rFonts w:cs="Calibri"/>
          <w:sz w:val="22"/>
          <w:szCs w:val="22"/>
          <w:lang w:val="en-GB"/>
        </w:rPr>
      </w:pPr>
      <w:r w:rsidRPr="00794C7B">
        <w:rPr>
          <w:rFonts w:cs="Calibri"/>
          <w:sz w:val="22"/>
          <w:szCs w:val="22"/>
          <w:lang w:val="en-GB"/>
        </w:rPr>
        <w:t xml:space="preserve">Please note that the replies given to the questions on the eligibility are provided solely for the question asked without consideration of whether the other eligibility criteria stated in the </w:t>
      </w:r>
      <w:r w:rsidR="00E72D4C" w:rsidRPr="00794C7B">
        <w:rPr>
          <w:rFonts w:cs="Calibri"/>
          <w:sz w:val="22"/>
          <w:szCs w:val="22"/>
          <w:lang w:val="en-GB"/>
        </w:rPr>
        <w:t>Announcement</w:t>
      </w:r>
      <w:r w:rsidRPr="00794C7B">
        <w:rPr>
          <w:rFonts w:cs="Calibri"/>
          <w:sz w:val="22"/>
          <w:szCs w:val="22"/>
          <w:lang w:val="en-GB"/>
        </w:rPr>
        <w:t xml:space="preserve"> are fulfilled or not.</w:t>
      </w:r>
    </w:p>
    <w:p w:rsidR="00A465BA" w:rsidRPr="00794C7B" w:rsidRDefault="00A465BA" w:rsidP="001A16E6">
      <w:pPr>
        <w:pStyle w:val="GvdeMetni"/>
        <w:widowControl/>
        <w:ind w:left="118" w:right="112"/>
        <w:jc w:val="both"/>
        <w:rPr>
          <w:rFonts w:cs="Calibri"/>
          <w:sz w:val="22"/>
          <w:szCs w:val="22"/>
          <w:lang w:val="en-GB"/>
        </w:rPr>
      </w:pPr>
    </w:p>
    <w:p w:rsidR="00A465BA" w:rsidRPr="00794C7B" w:rsidRDefault="00A465BA" w:rsidP="00A465BA">
      <w:pPr>
        <w:pStyle w:val="GvdeMetni"/>
        <w:widowControl/>
        <w:ind w:left="118" w:right="112"/>
        <w:jc w:val="both"/>
        <w:rPr>
          <w:rFonts w:cs="Calibri"/>
          <w:sz w:val="22"/>
          <w:szCs w:val="22"/>
          <w:lang w:val="en-GB"/>
        </w:rPr>
      </w:pPr>
      <w:r w:rsidRPr="00794C7B">
        <w:rPr>
          <w:sz w:val="22"/>
          <w:szCs w:val="22"/>
          <w:lang w:val="en-GB"/>
        </w:rPr>
        <w:t>As stated in Section 2.3.3. Important Notes for Application of the 202</w:t>
      </w:r>
      <w:r w:rsidR="00B008F6" w:rsidRPr="00794C7B">
        <w:rPr>
          <w:sz w:val="22"/>
          <w:szCs w:val="22"/>
          <w:lang w:val="en-GB"/>
        </w:rPr>
        <w:t>4</w:t>
      </w:r>
      <w:r w:rsidRPr="00794C7B">
        <w:rPr>
          <w:sz w:val="22"/>
          <w:szCs w:val="22"/>
          <w:lang w:val="en-GB"/>
        </w:rPr>
        <w:t>-202</w:t>
      </w:r>
      <w:r w:rsidR="00B008F6" w:rsidRPr="00794C7B">
        <w:rPr>
          <w:sz w:val="22"/>
          <w:szCs w:val="22"/>
          <w:lang w:val="en-GB"/>
        </w:rPr>
        <w:t xml:space="preserve">5 </w:t>
      </w:r>
      <w:r w:rsidRPr="00794C7B">
        <w:rPr>
          <w:sz w:val="22"/>
          <w:szCs w:val="22"/>
          <w:lang w:val="en-GB"/>
        </w:rPr>
        <w:t>Academic Year Jean Monnet Scholarship Programme Announcement</w:t>
      </w:r>
      <w:r w:rsidR="005112FC" w:rsidRPr="00794C7B">
        <w:rPr>
          <w:sz w:val="22"/>
          <w:szCs w:val="22"/>
          <w:lang w:val="en-GB"/>
        </w:rPr>
        <w:t>,</w:t>
      </w:r>
      <w:r w:rsidRPr="00794C7B">
        <w:rPr>
          <w:sz w:val="22"/>
          <w:szCs w:val="22"/>
          <w:lang w:val="en-GB"/>
        </w:rPr>
        <w:t xml:space="preserve"> </w:t>
      </w:r>
      <w:r w:rsidRPr="00794C7B">
        <w:rPr>
          <w:rFonts w:cs="Calibri"/>
          <w:b/>
          <w:sz w:val="22"/>
          <w:szCs w:val="22"/>
          <w:lang w:val="en-GB"/>
        </w:rPr>
        <w:t xml:space="preserve">questions related to the issues clearly stated in the Announcement document will not be answered in the </w:t>
      </w:r>
      <w:r w:rsidR="00FA2EA8" w:rsidRPr="00794C7B">
        <w:rPr>
          <w:rFonts w:cs="Calibri"/>
          <w:b/>
          <w:sz w:val="22"/>
          <w:szCs w:val="22"/>
          <w:lang w:val="en-GB"/>
        </w:rPr>
        <w:t>Clarifications</w:t>
      </w:r>
      <w:r w:rsidRPr="00794C7B">
        <w:rPr>
          <w:rFonts w:cs="Calibri"/>
          <w:b/>
          <w:sz w:val="22"/>
          <w:szCs w:val="22"/>
          <w:lang w:val="en-GB"/>
        </w:rPr>
        <w:t xml:space="preserve"> document.</w:t>
      </w:r>
    </w:p>
    <w:p w:rsidR="00A465BA" w:rsidRPr="00794C7B" w:rsidRDefault="00A465BA" w:rsidP="00A465BA">
      <w:pPr>
        <w:pStyle w:val="GvdeMetni"/>
        <w:widowControl/>
        <w:ind w:left="118" w:right="112"/>
        <w:jc w:val="both"/>
        <w:rPr>
          <w:rFonts w:cs="Calibri"/>
          <w:sz w:val="22"/>
          <w:szCs w:val="22"/>
          <w:lang w:val="en-GB"/>
        </w:rPr>
      </w:pPr>
    </w:p>
    <w:p w:rsidR="00A465BA" w:rsidRPr="00794C7B" w:rsidRDefault="00D14A97" w:rsidP="0086511D">
      <w:pPr>
        <w:pStyle w:val="GvdeMetni"/>
        <w:widowControl/>
        <w:ind w:left="118" w:right="112"/>
        <w:jc w:val="both"/>
        <w:rPr>
          <w:rFonts w:cs="Calibri"/>
          <w:sz w:val="22"/>
          <w:szCs w:val="22"/>
          <w:lang w:val="en-GB"/>
        </w:rPr>
      </w:pPr>
      <w:r w:rsidRPr="00D14A97">
        <w:rPr>
          <w:rFonts w:cs="Calibri"/>
          <w:sz w:val="22"/>
          <w:szCs w:val="22"/>
          <w:lang w:val="en-GB"/>
        </w:rPr>
        <w:t>In the interest of equal treatment of applicants, the contracting authority or the Directorate for EU Affairs cannot give prior opinion/approval neither during application nor during evaluation stages,</w:t>
      </w:r>
      <w:r>
        <w:rPr>
          <w:rFonts w:cs="Calibri"/>
          <w:sz w:val="22"/>
          <w:szCs w:val="22"/>
          <w:lang w:val="en-GB"/>
        </w:rPr>
        <w:t xml:space="preserve"> </w:t>
      </w:r>
      <w:r w:rsidRPr="00D14A97">
        <w:rPr>
          <w:rFonts w:cs="Calibri"/>
          <w:sz w:val="22"/>
          <w:szCs w:val="22"/>
          <w:lang w:val="en-GB"/>
        </w:rPr>
        <w:t>on:</w:t>
      </w:r>
      <w:bookmarkStart w:id="1" w:name="_GoBack"/>
      <w:bookmarkEnd w:id="1"/>
    </w:p>
    <w:p w:rsidR="00794C7B" w:rsidRPr="00794C7B" w:rsidRDefault="00794C7B" w:rsidP="00794C7B">
      <w:pPr>
        <w:pStyle w:val="GvdeMetni"/>
        <w:widowControl/>
        <w:numPr>
          <w:ilvl w:val="0"/>
          <w:numId w:val="6"/>
        </w:numPr>
        <w:ind w:right="112"/>
        <w:jc w:val="both"/>
        <w:rPr>
          <w:rFonts w:cs="Calibri"/>
          <w:sz w:val="22"/>
          <w:szCs w:val="22"/>
          <w:lang w:val="en-GB"/>
        </w:rPr>
      </w:pPr>
      <w:r w:rsidRPr="00794C7B">
        <w:rPr>
          <w:rFonts w:cs="Calibri"/>
          <w:sz w:val="22"/>
          <w:szCs w:val="22"/>
          <w:lang w:val="en-GB"/>
        </w:rPr>
        <w:t>the acceptability/adequacy of the application documents,</w:t>
      </w:r>
    </w:p>
    <w:p w:rsidR="00794C7B" w:rsidRPr="00794C7B" w:rsidRDefault="00794C7B" w:rsidP="00794C7B">
      <w:pPr>
        <w:pStyle w:val="GvdeMetni"/>
        <w:widowControl/>
        <w:numPr>
          <w:ilvl w:val="0"/>
          <w:numId w:val="6"/>
        </w:numPr>
        <w:ind w:right="112"/>
        <w:jc w:val="both"/>
        <w:rPr>
          <w:rFonts w:cs="Calibri"/>
          <w:sz w:val="22"/>
          <w:szCs w:val="22"/>
          <w:lang w:val="en-GB"/>
        </w:rPr>
      </w:pPr>
      <w:r w:rsidRPr="00794C7B">
        <w:rPr>
          <w:rFonts w:cs="Calibri"/>
          <w:sz w:val="22"/>
          <w:szCs w:val="22"/>
          <w:lang w:val="en-GB"/>
        </w:rPr>
        <w:t>the sector from which the applicant should make an application,</w:t>
      </w:r>
    </w:p>
    <w:p w:rsidR="00794C7B" w:rsidRPr="00794C7B" w:rsidRDefault="00794C7B" w:rsidP="00794C7B">
      <w:pPr>
        <w:pStyle w:val="GvdeMetni"/>
        <w:widowControl/>
        <w:numPr>
          <w:ilvl w:val="0"/>
          <w:numId w:val="6"/>
        </w:numPr>
        <w:ind w:right="112"/>
        <w:jc w:val="both"/>
        <w:rPr>
          <w:rFonts w:cs="Calibri"/>
          <w:sz w:val="22"/>
          <w:szCs w:val="22"/>
          <w:lang w:val="en-GB"/>
        </w:rPr>
      </w:pPr>
      <w:r w:rsidRPr="00794C7B">
        <w:rPr>
          <w:rFonts w:cs="Calibri"/>
          <w:sz w:val="22"/>
          <w:szCs w:val="22"/>
          <w:lang w:val="en-GB"/>
        </w:rPr>
        <w:t>the eligibility of the academic programmes to be pursued,</w:t>
      </w:r>
    </w:p>
    <w:p w:rsidR="00A465BA" w:rsidRPr="00794C7B" w:rsidRDefault="00794C7B" w:rsidP="00DB4BFC">
      <w:pPr>
        <w:pStyle w:val="GvdeMetni"/>
        <w:widowControl/>
        <w:numPr>
          <w:ilvl w:val="0"/>
          <w:numId w:val="6"/>
        </w:numPr>
        <w:ind w:right="112"/>
        <w:jc w:val="both"/>
        <w:rPr>
          <w:rFonts w:cs="Calibri"/>
          <w:sz w:val="22"/>
          <w:szCs w:val="22"/>
          <w:lang w:val="en-GB"/>
        </w:rPr>
        <w:sectPr w:rsidR="00A465BA" w:rsidRPr="00794C7B" w:rsidSect="00980F18">
          <w:footerReference w:type="default" r:id="rId11"/>
          <w:pgSz w:w="11910" w:h="16840"/>
          <w:pgMar w:top="1000" w:right="1300" w:bottom="280" w:left="1680" w:header="708" w:footer="596" w:gutter="0"/>
          <w:cols w:space="708"/>
        </w:sectPr>
      </w:pPr>
      <w:r w:rsidRPr="00794C7B">
        <w:rPr>
          <w:rFonts w:cs="Calibri"/>
          <w:sz w:val="22"/>
          <w:szCs w:val="22"/>
          <w:lang w:val="en-GB"/>
        </w:rPr>
        <w:t>the relevance of the field of study (i.e. EU acquis chapter) with the academic programmes planned to be pursued.</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9620"/>
      </w:tblGrid>
      <w:tr w:rsidR="0051152D" w:rsidRPr="00794C7B" w:rsidTr="0036006D">
        <w:trPr>
          <w:trHeight w:val="454"/>
        </w:trPr>
        <w:tc>
          <w:tcPr>
            <w:tcW w:w="10207" w:type="dxa"/>
            <w:gridSpan w:val="2"/>
            <w:shd w:val="clear" w:color="auto" w:fill="BFBFBF"/>
            <w:vAlign w:val="center"/>
          </w:tcPr>
          <w:p w:rsidR="0051152D" w:rsidRPr="00794C7B" w:rsidRDefault="0051152D" w:rsidP="0051152D">
            <w:pPr>
              <w:widowControl/>
              <w:tabs>
                <w:tab w:val="left" w:pos="3423"/>
              </w:tabs>
              <w:jc w:val="center"/>
              <w:rPr>
                <w:b/>
                <w:bCs/>
                <w:lang w:val="en-GB"/>
              </w:rPr>
            </w:pPr>
            <w:bookmarkStart w:id="2" w:name="_Hlk148691305"/>
            <w:r w:rsidRPr="00794C7B">
              <w:rPr>
                <w:b/>
                <w:bCs/>
                <w:lang w:val="en-GB"/>
              </w:rPr>
              <w:lastRenderedPageBreak/>
              <w:t>LANGUAGE PROFICIENCY CERTIFICATES</w:t>
            </w:r>
          </w:p>
        </w:tc>
      </w:tr>
      <w:tr w:rsidR="007A2273" w:rsidRPr="00794C7B" w:rsidTr="00D14A97">
        <w:trPr>
          <w:trHeight w:val="454"/>
        </w:trPr>
        <w:tc>
          <w:tcPr>
            <w:tcW w:w="587" w:type="dxa"/>
            <w:shd w:val="clear" w:color="auto" w:fill="auto"/>
            <w:vAlign w:val="center"/>
          </w:tcPr>
          <w:p w:rsidR="007A2273" w:rsidRPr="00D14A97" w:rsidRDefault="007A2273" w:rsidP="007A2273">
            <w:pPr>
              <w:widowControl/>
              <w:tabs>
                <w:tab w:val="left" w:pos="3423"/>
              </w:tabs>
              <w:jc w:val="center"/>
              <w:rPr>
                <w:b/>
                <w:lang w:val="en-GB"/>
              </w:rPr>
            </w:pPr>
            <w:r w:rsidRPr="00D14A97">
              <w:rPr>
                <w:b/>
                <w:lang w:val="en-GB"/>
              </w:rPr>
              <w:t>1</w:t>
            </w:r>
          </w:p>
        </w:tc>
        <w:tc>
          <w:tcPr>
            <w:tcW w:w="9620" w:type="dxa"/>
            <w:tcBorders>
              <w:top w:val="single" w:sz="4" w:space="0" w:color="auto"/>
              <w:left w:val="single" w:sz="4" w:space="0" w:color="auto"/>
              <w:bottom w:val="single" w:sz="4" w:space="0" w:color="auto"/>
              <w:right w:val="single" w:sz="4" w:space="0" w:color="auto"/>
            </w:tcBorders>
            <w:shd w:val="clear" w:color="auto" w:fill="auto"/>
          </w:tcPr>
          <w:p w:rsidR="00253B5E" w:rsidRPr="00D14A97" w:rsidRDefault="007A2273" w:rsidP="00253B5E">
            <w:pPr>
              <w:widowControl/>
              <w:tabs>
                <w:tab w:val="left" w:pos="3423"/>
              </w:tabs>
              <w:rPr>
                <w:rFonts w:cs="Tahoma"/>
                <w:color w:val="000000"/>
                <w:lang w:val="en-GB"/>
              </w:rPr>
            </w:pPr>
            <w:r w:rsidRPr="009E4090">
              <w:rPr>
                <w:rFonts w:cs="Tahoma"/>
                <w:b/>
                <w:color w:val="000000"/>
                <w:lang w:val="en-GB"/>
              </w:rPr>
              <w:t>Q:</w:t>
            </w:r>
            <w:r w:rsidRPr="00D14A97">
              <w:rPr>
                <w:rFonts w:cs="Tahoma"/>
                <w:color w:val="000000"/>
                <w:lang w:val="en-GB"/>
              </w:rPr>
              <w:t xml:space="preserve"> </w:t>
            </w:r>
            <w:r w:rsidR="000C7781">
              <w:rPr>
                <w:rFonts w:cs="Tahoma"/>
                <w:color w:val="000000"/>
                <w:lang w:val="en-GB"/>
              </w:rPr>
              <w:t xml:space="preserve">Should I take </w:t>
            </w:r>
            <w:r w:rsidRPr="00D14A97">
              <w:rPr>
                <w:rFonts w:cs="Tahoma"/>
                <w:color w:val="000000"/>
                <w:lang w:val="en-GB"/>
              </w:rPr>
              <w:t xml:space="preserve">PTE Academic </w:t>
            </w:r>
            <w:r w:rsidR="000C7781">
              <w:rPr>
                <w:rFonts w:cs="Tahoma"/>
                <w:color w:val="000000"/>
                <w:lang w:val="en-GB"/>
              </w:rPr>
              <w:t>at test centre or online (</w:t>
            </w:r>
            <w:r w:rsidR="000C7781" w:rsidRPr="000C7781">
              <w:rPr>
                <w:rFonts w:cs="Tahoma"/>
                <w:color w:val="000000"/>
                <w:lang w:val="en-GB"/>
              </w:rPr>
              <w:t>at-home version</w:t>
            </w:r>
            <w:r w:rsidR="000C7781">
              <w:rPr>
                <w:rFonts w:cs="Tahoma"/>
                <w:color w:val="000000"/>
                <w:lang w:val="en-GB"/>
              </w:rPr>
              <w:t>)</w:t>
            </w:r>
            <w:r w:rsidRPr="00D14A97">
              <w:rPr>
                <w:rFonts w:cs="Tahoma"/>
                <w:color w:val="000000"/>
                <w:lang w:val="en-GB"/>
              </w:rPr>
              <w:t>?</w:t>
            </w:r>
          </w:p>
          <w:p w:rsidR="007A2273" w:rsidRPr="00D14A97" w:rsidRDefault="007A2273" w:rsidP="00253B5E">
            <w:pPr>
              <w:widowControl/>
              <w:tabs>
                <w:tab w:val="left" w:pos="3423"/>
              </w:tabs>
              <w:rPr>
                <w:lang w:val="en-GB"/>
              </w:rPr>
            </w:pPr>
            <w:r w:rsidRPr="009E4090">
              <w:rPr>
                <w:rFonts w:cs="Tahoma"/>
                <w:b/>
                <w:color w:val="000000"/>
                <w:lang w:val="en-GB"/>
              </w:rPr>
              <w:t>C:</w:t>
            </w:r>
            <w:r w:rsidRPr="00D14A97">
              <w:rPr>
                <w:rFonts w:cs="Tahoma"/>
                <w:color w:val="000000"/>
                <w:lang w:val="en-GB"/>
              </w:rPr>
              <w:t xml:space="preserve"> </w:t>
            </w:r>
            <w:r w:rsidR="000C7781">
              <w:rPr>
                <w:rFonts w:cs="Tahoma"/>
                <w:color w:val="000000"/>
                <w:lang w:val="en-GB"/>
              </w:rPr>
              <w:t xml:space="preserve">Both are acceptable </w:t>
            </w:r>
            <w:r w:rsidR="000C7781" w:rsidRPr="00794C7B">
              <w:rPr>
                <w:rFonts w:cs="Tahoma"/>
                <w:color w:val="000000"/>
                <w:lang w:val="en-GB"/>
              </w:rPr>
              <w:t>for application to the Scholarship Programme</w:t>
            </w:r>
            <w:r w:rsidR="000C7781">
              <w:rPr>
                <w:rFonts w:cs="Tahoma"/>
                <w:color w:val="000000"/>
                <w:lang w:val="en-GB"/>
              </w:rPr>
              <w:t>.</w:t>
            </w:r>
          </w:p>
        </w:tc>
      </w:tr>
      <w:tr w:rsidR="007A2273" w:rsidRPr="00794C7B" w:rsidTr="000C7781">
        <w:trPr>
          <w:trHeight w:val="454"/>
        </w:trPr>
        <w:tc>
          <w:tcPr>
            <w:tcW w:w="587" w:type="dxa"/>
            <w:shd w:val="clear" w:color="auto" w:fill="auto"/>
            <w:vAlign w:val="center"/>
          </w:tcPr>
          <w:p w:rsidR="007A2273" w:rsidRPr="000C7781" w:rsidRDefault="007A2273" w:rsidP="007A2273">
            <w:pPr>
              <w:widowControl/>
              <w:tabs>
                <w:tab w:val="left" w:pos="3423"/>
              </w:tabs>
              <w:jc w:val="center"/>
              <w:rPr>
                <w:b/>
                <w:lang w:val="en-GB"/>
              </w:rPr>
            </w:pPr>
            <w:r w:rsidRPr="000C7781">
              <w:rPr>
                <w:b/>
                <w:lang w:val="en-GB"/>
              </w:rPr>
              <w:t>2</w:t>
            </w:r>
          </w:p>
        </w:tc>
        <w:tc>
          <w:tcPr>
            <w:tcW w:w="9620" w:type="dxa"/>
            <w:tcBorders>
              <w:top w:val="nil"/>
              <w:left w:val="single" w:sz="4" w:space="0" w:color="auto"/>
              <w:bottom w:val="single" w:sz="4" w:space="0" w:color="auto"/>
              <w:right w:val="single" w:sz="4" w:space="0" w:color="auto"/>
            </w:tcBorders>
            <w:shd w:val="clear" w:color="auto" w:fill="auto"/>
          </w:tcPr>
          <w:p w:rsidR="00794C7B" w:rsidRPr="00794C7B" w:rsidRDefault="007A2273" w:rsidP="00794C7B">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Should I take IELTS Academic on computer or paper</w:t>
            </w:r>
            <w:r w:rsidR="009E4090">
              <w:rPr>
                <w:rFonts w:cs="Tahoma"/>
                <w:color w:val="000000"/>
                <w:lang w:val="en-GB"/>
              </w:rPr>
              <w:t xml:space="preserve"> or online</w:t>
            </w:r>
            <w:r w:rsidRPr="00794C7B">
              <w:rPr>
                <w:rFonts w:cs="Tahoma"/>
                <w:color w:val="000000"/>
                <w:lang w:val="en-GB"/>
              </w:rPr>
              <w:t>?</w:t>
            </w:r>
          </w:p>
          <w:p w:rsidR="007A2273" w:rsidRPr="00794C7B" w:rsidRDefault="007A2273" w:rsidP="00794C7B">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w:t>
            </w:r>
            <w:r w:rsidR="009E4090">
              <w:rPr>
                <w:rFonts w:cs="Tahoma"/>
                <w:color w:val="000000"/>
                <w:lang w:val="en-GB"/>
              </w:rPr>
              <w:t xml:space="preserve">All </w:t>
            </w:r>
            <w:r w:rsidRPr="00794C7B">
              <w:rPr>
                <w:rFonts w:cs="Tahoma"/>
                <w:color w:val="000000"/>
                <w:lang w:val="en-GB"/>
              </w:rPr>
              <w:t xml:space="preserve">are acceptable for application to the Scholarship Programme. </w:t>
            </w:r>
          </w:p>
        </w:tc>
      </w:tr>
      <w:tr w:rsidR="007A2273" w:rsidRPr="00794C7B" w:rsidTr="000C7781">
        <w:trPr>
          <w:trHeight w:val="454"/>
        </w:trPr>
        <w:tc>
          <w:tcPr>
            <w:tcW w:w="587" w:type="dxa"/>
            <w:shd w:val="clear" w:color="auto" w:fill="auto"/>
            <w:vAlign w:val="center"/>
          </w:tcPr>
          <w:p w:rsidR="007A2273" w:rsidRPr="000C7781" w:rsidRDefault="007A2273" w:rsidP="007A2273">
            <w:pPr>
              <w:widowControl/>
              <w:tabs>
                <w:tab w:val="left" w:pos="3423"/>
              </w:tabs>
              <w:jc w:val="center"/>
              <w:rPr>
                <w:b/>
                <w:lang w:val="en-GB"/>
              </w:rPr>
            </w:pPr>
            <w:r w:rsidRPr="000C7781">
              <w:rPr>
                <w:b/>
                <w:lang w:val="en-GB"/>
              </w:rPr>
              <w:t>3</w:t>
            </w:r>
          </w:p>
        </w:tc>
        <w:tc>
          <w:tcPr>
            <w:tcW w:w="9620" w:type="dxa"/>
            <w:tcBorders>
              <w:top w:val="nil"/>
              <w:left w:val="single" w:sz="4" w:space="0" w:color="auto"/>
              <w:bottom w:val="single" w:sz="4" w:space="0" w:color="auto"/>
              <w:right w:val="single" w:sz="4" w:space="0" w:color="auto"/>
            </w:tcBorders>
            <w:shd w:val="clear" w:color="auto" w:fill="auto"/>
          </w:tcPr>
          <w:p w:rsidR="00794C7B" w:rsidRPr="00794C7B" w:rsidRDefault="007A2273" w:rsidP="00794C7B">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Is the IELTS requirement minimum 6.5 overall score or minimum 6.5 for each of the modules such as speaking, reading, etc.?</w:t>
            </w:r>
          </w:p>
          <w:p w:rsidR="007A2273" w:rsidRPr="00794C7B" w:rsidRDefault="007A2273" w:rsidP="00794C7B">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Overall score will be taken into consideration.</w:t>
            </w:r>
          </w:p>
        </w:tc>
      </w:tr>
      <w:tr w:rsidR="007A2273" w:rsidRPr="00794C7B" w:rsidTr="0036006D">
        <w:trPr>
          <w:trHeight w:val="454"/>
        </w:trPr>
        <w:tc>
          <w:tcPr>
            <w:tcW w:w="10207" w:type="dxa"/>
            <w:gridSpan w:val="2"/>
            <w:shd w:val="clear" w:color="auto" w:fill="BFBFBF"/>
            <w:vAlign w:val="center"/>
          </w:tcPr>
          <w:p w:rsidR="007A2273" w:rsidRPr="00794C7B" w:rsidRDefault="007A2273" w:rsidP="007A2273">
            <w:pPr>
              <w:widowControl/>
              <w:tabs>
                <w:tab w:val="left" w:pos="3423"/>
              </w:tabs>
              <w:jc w:val="center"/>
              <w:rPr>
                <w:b/>
                <w:lang w:val="en-GB"/>
              </w:rPr>
            </w:pPr>
            <w:r w:rsidRPr="00794C7B">
              <w:rPr>
                <w:b/>
                <w:lang w:val="en-GB"/>
              </w:rPr>
              <w:t>FIELD OF STUDY</w:t>
            </w:r>
          </w:p>
        </w:tc>
      </w:tr>
      <w:tr w:rsidR="007A2273" w:rsidRPr="00794C7B" w:rsidTr="0036006D">
        <w:trPr>
          <w:trHeight w:val="454"/>
        </w:trPr>
        <w:tc>
          <w:tcPr>
            <w:tcW w:w="587" w:type="dxa"/>
            <w:tcBorders>
              <w:right w:val="single" w:sz="4" w:space="0" w:color="auto"/>
            </w:tcBorders>
            <w:vAlign w:val="center"/>
          </w:tcPr>
          <w:p w:rsidR="007A2273" w:rsidRPr="00794C7B" w:rsidRDefault="007A2273" w:rsidP="007A2273">
            <w:pPr>
              <w:widowControl/>
              <w:tabs>
                <w:tab w:val="left" w:pos="3423"/>
              </w:tabs>
              <w:jc w:val="center"/>
              <w:rPr>
                <w:b/>
                <w:lang w:val="en-GB"/>
              </w:rPr>
            </w:pPr>
            <w:r w:rsidRPr="00794C7B">
              <w:rPr>
                <w:b/>
                <w:lang w:val="en-GB"/>
              </w:rPr>
              <w:t>4</w:t>
            </w:r>
          </w:p>
        </w:tc>
        <w:tc>
          <w:tcPr>
            <w:tcW w:w="9620" w:type="dxa"/>
            <w:tcBorders>
              <w:top w:val="nil"/>
              <w:left w:val="single" w:sz="4" w:space="0" w:color="auto"/>
              <w:bottom w:val="single" w:sz="4" w:space="0" w:color="auto"/>
              <w:right w:val="single" w:sz="4" w:space="0" w:color="auto"/>
            </w:tcBorders>
            <w:shd w:val="clear" w:color="auto" w:fill="auto"/>
            <w:vAlign w:val="center"/>
          </w:tcPr>
          <w:p w:rsidR="00794C7B" w:rsidRPr="00794C7B" w:rsidRDefault="007A2273" w:rsidP="00794C7B">
            <w:pPr>
              <w:widowControl/>
              <w:autoSpaceDE/>
              <w:autoSpaceDN/>
              <w:jc w:val="both"/>
              <w:rPr>
                <w:rFonts w:cs="Tahoma"/>
                <w:color w:val="000000"/>
                <w:lang w:val="en-GB"/>
              </w:rPr>
            </w:pPr>
            <w:r w:rsidRPr="009E4090">
              <w:rPr>
                <w:rFonts w:cs="Tahoma"/>
                <w:b/>
                <w:color w:val="000000"/>
                <w:lang w:val="en-GB"/>
              </w:rPr>
              <w:t>Q:</w:t>
            </w:r>
            <w:r w:rsidRPr="00794C7B">
              <w:rPr>
                <w:rFonts w:cs="Tahoma"/>
                <w:color w:val="000000"/>
                <w:lang w:val="en-GB"/>
              </w:rPr>
              <w:t xml:space="preserve"> Can I select any field of study when applying? Or does it have to be related to the field I am currently working/pursuing study in?</w:t>
            </w:r>
          </w:p>
          <w:p w:rsidR="007A2273" w:rsidRPr="00794C7B" w:rsidRDefault="007A2273" w:rsidP="00794C7B">
            <w:pPr>
              <w:widowControl/>
              <w:autoSpaceDE/>
              <w:autoSpaceDN/>
              <w:jc w:val="both"/>
              <w:rPr>
                <w:rFonts w:eastAsia="Times New Roman" w:cs="Tahoma"/>
                <w:color w:val="000000"/>
                <w:lang w:val="en-GB" w:eastAsia="en-GB" w:bidi="ar-SA"/>
              </w:rPr>
            </w:pPr>
            <w:r w:rsidRPr="009E4090">
              <w:rPr>
                <w:rFonts w:cs="Tahoma"/>
                <w:b/>
                <w:color w:val="000000"/>
                <w:lang w:val="en-GB"/>
              </w:rPr>
              <w:t>C:</w:t>
            </w:r>
            <w:r w:rsidRPr="00794C7B">
              <w:rPr>
                <w:rFonts w:cs="Tahoma"/>
                <w:color w:val="000000"/>
                <w:lang w:val="en-GB"/>
              </w:rPr>
              <w:t xml:space="preserve"> The Jean Monnet Scholarship Programme considers the compliance of the study field selected with the field of the academic programme to be pursued as well as compliance with the objective of the scholarship. In this manner, the Scholarship Programme does not take into consideration the compliance of the selected academic programme with the academic or professional background of the applicant.</w:t>
            </w:r>
          </w:p>
        </w:tc>
      </w:tr>
      <w:tr w:rsidR="007A2273" w:rsidRPr="00794C7B" w:rsidTr="0036006D">
        <w:trPr>
          <w:trHeight w:val="454"/>
        </w:trPr>
        <w:tc>
          <w:tcPr>
            <w:tcW w:w="10207" w:type="dxa"/>
            <w:gridSpan w:val="2"/>
            <w:tcBorders>
              <w:right w:val="single" w:sz="4" w:space="0" w:color="auto"/>
            </w:tcBorders>
            <w:shd w:val="clear" w:color="auto" w:fill="BFBFBF" w:themeFill="background1" w:themeFillShade="BF"/>
            <w:vAlign w:val="center"/>
          </w:tcPr>
          <w:p w:rsidR="007A2273" w:rsidRPr="00794C7B" w:rsidRDefault="007A2273" w:rsidP="007A2273">
            <w:pPr>
              <w:widowControl/>
              <w:tabs>
                <w:tab w:val="left" w:pos="3423"/>
              </w:tabs>
              <w:jc w:val="center"/>
              <w:rPr>
                <w:b/>
                <w:bCs/>
                <w:lang w:val="en-GB"/>
              </w:rPr>
            </w:pPr>
            <w:r w:rsidRPr="00794C7B">
              <w:rPr>
                <w:b/>
                <w:bCs/>
                <w:lang w:val="en-GB"/>
              </w:rPr>
              <w:t>SECTOR</w:t>
            </w:r>
          </w:p>
        </w:tc>
      </w:tr>
      <w:tr w:rsidR="007A2273" w:rsidRPr="00794C7B" w:rsidTr="000E5104">
        <w:trPr>
          <w:trHeight w:val="454"/>
        </w:trPr>
        <w:tc>
          <w:tcPr>
            <w:tcW w:w="587" w:type="dxa"/>
            <w:tcBorders>
              <w:right w:val="single" w:sz="4" w:space="0" w:color="auto"/>
            </w:tcBorders>
            <w:vAlign w:val="center"/>
          </w:tcPr>
          <w:p w:rsidR="007A2273" w:rsidRPr="00794C7B" w:rsidRDefault="007A2273" w:rsidP="007A2273">
            <w:pPr>
              <w:widowControl/>
              <w:tabs>
                <w:tab w:val="left" w:pos="3423"/>
              </w:tabs>
              <w:jc w:val="center"/>
              <w:rPr>
                <w:b/>
                <w:lang w:val="en-GB"/>
              </w:rPr>
            </w:pPr>
            <w:r w:rsidRPr="00794C7B">
              <w:rPr>
                <w:b/>
                <w:lang w:val="en-GB"/>
              </w:rPr>
              <w:t>5</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 have graduated from an undergraduate/graduate programme. However, I neither started to </w:t>
            </w:r>
            <w:r>
              <w:rPr>
                <w:rFonts w:cs="Tahoma"/>
                <w:color w:val="000000"/>
                <w:lang w:val="en-GB"/>
              </w:rPr>
              <w:t>work, nor am I registered to a m</w:t>
            </w:r>
            <w:r w:rsidRPr="00794C7B">
              <w:rPr>
                <w:rFonts w:cs="Tahoma"/>
                <w:color w:val="000000"/>
                <w:lang w:val="en-GB"/>
              </w:rPr>
              <w:t>aster’s degree/PhD programme. May I apply?</w:t>
            </w:r>
          </w:p>
          <w:p w:rsidR="007A2273" w:rsidRPr="006215D5" w:rsidRDefault="006215D5" w:rsidP="00794C7B">
            <w:pPr>
              <w:widowControl/>
              <w:tabs>
                <w:tab w:val="left" w:pos="3423"/>
              </w:tabs>
              <w:jc w:val="both"/>
              <w:rPr>
                <w:rFonts w:cs="Tahoma"/>
                <w:color w:val="000000"/>
                <w:lang w:val="en-GB"/>
              </w:rPr>
            </w:pPr>
            <w:r w:rsidRPr="009E4090">
              <w:rPr>
                <w:rFonts w:cs="Tahoma"/>
                <w:b/>
                <w:color w:val="000000"/>
                <w:lang w:val="en-GB"/>
              </w:rPr>
              <w:t>C:</w:t>
            </w:r>
            <w:r w:rsidRPr="00794C7B">
              <w:rPr>
                <w:rFonts w:cs="Tahoma"/>
                <w:color w:val="000000"/>
                <w:lang w:val="en-GB"/>
              </w:rPr>
              <w:t xml:space="preserve"> No. In order to be eligible, applicants should either be working</w:t>
            </w:r>
            <w:r w:rsidR="009E4090">
              <w:rPr>
                <w:rFonts w:cs="Tahoma"/>
                <w:color w:val="000000"/>
                <w:lang w:val="en-GB"/>
              </w:rPr>
              <w:t xml:space="preserve"> in </w:t>
            </w:r>
            <w:proofErr w:type="spellStart"/>
            <w:r w:rsidR="009E4090">
              <w:rPr>
                <w:rFonts w:cs="Tahoma"/>
                <w:color w:val="000000"/>
                <w:lang w:val="en-GB"/>
              </w:rPr>
              <w:t>Türkiye</w:t>
            </w:r>
            <w:proofErr w:type="spellEnd"/>
            <w:r w:rsidRPr="00794C7B">
              <w:rPr>
                <w:rFonts w:cs="Tahoma"/>
                <w:color w:val="000000"/>
                <w:lang w:val="en-GB"/>
              </w:rPr>
              <w:t xml:space="preserve"> on a professional basis (i.e. under a social security network, in return for a wage) in public sector or private sector or university sector as academic/administrative staff or be senior undergraduate students</w:t>
            </w:r>
            <w:r w:rsidR="009E4090">
              <w:rPr>
                <w:rFonts w:cs="Tahoma"/>
                <w:color w:val="000000"/>
                <w:lang w:val="en-GB"/>
              </w:rPr>
              <w:t>/</w:t>
            </w:r>
            <w:r w:rsidR="009E4090" w:rsidRPr="00794C7B">
              <w:rPr>
                <w:rFonts w:cs="Tahoma"/>
                <w:color w:val="000000"/>
                <w:lang w:val="en-GB"/>
              </w:rPr>
              <w:t xml:space="preserve"> </w:t>
            </w:r>
            <w:r w:rsidRPr="00794C7B">
              <w:rPr>
                <w:rFonts w:cs="Tahoma"/>
                <w:color w:val="000000"/>
                <w:lang w:val="en-GB"/>
              </w:rPr>
              <w:t>master’s/PhD students</w:t>
            </w:r>
            <w:r w:rsidR="009E4090">
              <w:rPr>
                <w:rFonts w:cs="Tahoma"/>
                <w:color w:val="000000"/>
                <w:lang w:val="en-GB"/>
              </w:rPr>
              <w:t xml:space="preserve"> in the universities in </w:t>
            </w:r>
            <w:proofErr w:type="spellStart"/>
            <w:r w:rsidR="009E4090">
              <w:rPr>
                <w:rFonts w:cs="Tahoma"/>
                <w:color w:val="000000"/>
                <w:lang w:val="en-GB"/>
              </w:rPr>
              <w:t>Türkiye</w:t>
            </w:r>
            <w:proofErr w:type="spellEnd"/>
            <w:r w:rsidRPr="00794C7B">
              <w:rPr>
                <w:rFonts w:cs="Tahoma"/>
                <w:color w:val="000000"/>
                <w:lang w:val="en-GB"/>
              </w:rPr>
              <w:t>.</w:t>
            </w:r>
          </w:p>
        </w:tc>
      </w:tr>
      <w:tr w:rsidR="007A2273" w:rsidRPr="00794C7B" w:rsidTr="0036006D">
        <w:trPr>
          <w:trHeight w:val="454"/>
        </w:trPr>
        <w:tc>
          <w:tcPr>
            <w:tcW w:w="587" w:type="dxa"/>
            <w:tcBorders>
              <w:right w:val="single" w:sz="4" w:space="0" w:color="auto"/>
            </w:tcBorders>
            <w:vAlign w:val="center"/>
          </w:tcPr>
          <w:p w:rsidR="007A2273" w:rsidRPr="00794C7B" w:rsidRDefault="007A2273" w:rsidP="007A2273">
            <w:pPr>
              <w:widowControl/>
              <w:tabs>
                <w:tab w:val="left" w:pos="3423"/>
              </w:tabs>
              <w:jc w:val="center"/>
              <w:rPr>
                <w:b/>
                <w:lang w:val="en-GB"/>
              </w:rPr>
            </w:pPr>
            <w:r w:rsidRPr="00794C7B">
              <w:rPr>
                <w:b/>
                <w:lang w:val="en-GB"/>
              </w:rPr>
              <w:t>6</w:t>
            </w:r>
          </w:p>
        </w:tc>
        <w:tc>
          <w:tcPr>
            <w:tcW w:w="9620" w:type="dxa"/>
            <w:tcBorders>
              <w:top w:val="nil"/>
              <w:left w:val="single" w:sz="4" w:space="0" w:color="auto"/>
              <w:bottom w:val="single" w:sz="4" w:space="0" w:color="auto"/>
              <w:right w:val="single" w:sz="4" w:space="0" w:color="auto"/>
            </w:tcBorders>
            <w:shd w:val="clear" w:color="auto" w:fill="auto"/>
            <w:vAlign w:val="center"/>
          </w:tcPr>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 am currently a senior undergraduate student and will graduate in January-February 2024. Looking at the application criteria it appears I am eligible to apply. However, during the written exam and at the time the scholarships are granted I will be unemployed. May I still benefit from the scholarship to pursue graduate study/research?</w:t>
            </w:r>
          </w:p>
          <w:p w:rsidR="007A2273" w:rsidRPr="00794C7B" w:rsidRDefault="006215D5" w:rsidP="006215D5">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Yes. As long as applicants are registered as senior undergraduate students at the time of application, having graduated and being unemployed in the following stages does not form a problem. Please also note that awardees who were senior undergraduate students while applying to this Announcement, should submit a Graduation Certificate/Diploma related to their undergraduate programme before contract signature.</w:t>
            </w:r>
          </w:p>
        </w:tc>
      </w:tr>
      <w:tr w:rsidR="006215D5" w:rsidRPr="00794C7B" w:rsidTr="0036006D">
        <w:trPr>
          <w:trHeight w:val="454"/>
        </w:trPr>
        <w:tc>
          <w:tcPr>
            <w:tcW w:w="587" w:type="dxa"/>
            <w:tcBorders>
              <w:right w:val="single" w:sz="4" w:space="0" w:color="auto"/>
            </w:tcBorders>
            <w:vAlign w:val="center"/>
          </w:tcPr>
          <w:p w:rsidR="006215D5" w:rsidRPr="00794C7B" w:rsidRDefault="006215D5" w:rsidP="007A2273">
            <w:pPr>
              <w:widowControl/>
              <w:tabs>
                <w:tab w:val="left" w:pos="3423"/>
              </w:tabs>
              <w:jc w:val="center"/>
              <w:rPr>
                <w:b/>
                <w:lang w:val="en-GB"/>
              </w:rPr>
            </w:pPr>
            <w:r>
              <w:rPr>
                <w:b/>
                <w:lang w:val="en-GB"/>
              </w:rPr>
              <w:t>7</w:t>
            </w:r>
          </w:p>
        </w:tc>
        <w:tc>
          <w:tcPr>
            <w:tcW w:w="9620" w:type="dxa"/>
            <w:tcBorders>
              <w:top w:val="nil"/>
              <w:left w:val="single" w:sz="4" w:space="0" w:color="auto"/>
              <w:bottom w:val="single" w:sz="4" w:space="0" w:color="auto"/>
              <w:right w:val="single" w:sz="4" w:space="0" w:color="auto"/>
            </w:tcBorders>
            <w:shd w:val="clear" w:color="auto" w:fill="auto"/>
            <w:vAlign w:val="center"/>
          </w:tcPr>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Due to insufficient credits, I will appear as a 3rd year student in my transcript document at the time of application. However, I will be a final year student in spring term and graduate in </w:t>
            </w:r>
            <w:r w:rsidRPr="0019311C">
              <w:rPr>
                <w:rFonts w:cs="Tahoma"/>
                <w:color w:val="000000"/>
                <w:lang w:val="en-GB"/>
              </w:rPr>
              <w:t>2023-2024</w:t>
            </w:r>
            <w:r w:rsidRPr="00794C7B">
              <w:rPr>
                <w:rFonts w:cs="Tahoma"/>
                <w:color w:val="000000"/>
                <w:lang w:val="en-GB"/>
              </w:rPr>
              <w:t xml:space="preserve"> academic year. May I apply?</w:t>
            </w:r>
          </w:p>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C:</w:t>
            </w:r>
            <w:r w:rsidRPr="00794C7B">
              <w:rPr>
                <w:rFonts w:cs="Tahoma"/>
                <w:color w:val="000000"/>
                <w:lang w:val="en-GB"/>
              </w:rPr>
              <w:t xml:space="preserve">  Although prior opinion/approval cannot be given on the adequacy of the application documents, it is recommended to submit supporting documents (preferably taken from the university) explaining this situation.</w:t>
            </w:r>
            <w:r w:rsidR="004D3A2E">
              <w:rPr>
                <w:rFonts w:cs="Tahoma"/>
                <w:color w:val="000000"/>
                <w:lang w:val="en-GB"/>
              </w:rPr>
              <w:t xml:space="preserve"> Please also see Answer-6.</w:t>
            </w:r>
          </w:p>
        </w:tc>
      </w:tr>
      <w:tr w:rsidR="007A2273" w:rsidRPr="00794C7B" w:rsidTr="0036006D">
        <w:trPr>
          <w:trHeight w:val="454"/>
        </w:trPr>
        <w:tc>
          <w:tcPr>
            <w:tcW w:w="587" w:type="dxa"/>
            <w:tcBorders>
              <w:right w:val="single" w:sz="4" w:space="0" w:color="auto"/>
            </w:tcBorders>
            <w:vAlign w:val="center"/>
          </w:tcPr>
          <w:p w:rsidR="007A2273" w:rsidRPr="00794C7B" w:rsidRDefault="006215D5" w:rsidP="007A2273">
            <w:pPr>
              <w:widowControl/>
              <w:tabs>
                <w:tab w:val="left" w:pos="3423"/>
              </w:tabs>
              <w:jc w:val="center"/>
              <w:rPr>
                <w:b/>
                <w:lang w:val="en-GB"/>
              </w:rPr>
            </w:pPr>
            <w:r>
              <w:rPr>
                <w:b/>
                <w:lang w:val="en-GB"/>
              </w:rPr>
              <w:t>8</w:t>
            </w:r>
          </w:p>
        </w:tc>
        <w:tc>
          <w:tcPr>
            <w:tcW w:w="9620" w:type="dxa"/>
            <w:tcBorders>
              <w:top w:val="nil"/>
              <w:left w:val="single" w:sz="4" w:space="0" w:color="auto"/>
              <w:bottom w:val="single" w:sz="4" w:space="0" w:color="auto"/>
              <w:right w:val="single" w:sz="4" w:space="0" w:color="auto"/>
            </w:tcBorders>
            <w:shd w:val="clear" w:color="auto" w:fill="auto"/>
            <w:vAlign w:val="center"/>
          </w:tcPr>
          <w:p w:rsidR="00794C7B" w:rsidRPr="00794C7B" w:rsidRDefault="007A2273" w:rsidP="00794C7B">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To which date do we still need to be working/employed? Is it sufficient to be working until the application deadline?</w:t>
            </w:r>
          </w:p>
          <w:p w:rsidR="007A2273" w:rsidRPr="00A833EC" w:rsidRDefault="007A2273" w:rsidP="00794C7B">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Those who </w:t>
            </w:r>
            <w:r w:rsidR="004D3A2E" w:rsidRPr="00794C7B">
              <w:rPr>
                <w:rFonts w:cs="Tahoma"/>
                <w:color w:val="000000"/>
                <w:lang w:val="en-GB"/>
              </w:rPr>
              <w:t>appl</w:t>
            </w:r>
            <w:r w:rsidR="004D3A2E">
              <w:rPr>
                <w:rFonts w:cs="Tahoma"/>
                <w:color w:val="000000"/>
                <w:lang w:val="en-GB"/>
              </w:rPr>
              <w:t>y</w:t>
            </w:r>
            <w:r w:rsidR="004D3A2E" w:rsidRPr="00794C7B">
              <w:rPr>
                <w:rFonts w:cs="Tahoma"/>
                <w:color w:val="000000"/>
                <w:lang w:val="en-GB"/>
              </w:rPr>
              <w:t xml:space="preserve"> </w:t>
            </w:r>
            <w:r w:rsidRPr="00794C7B">
              <w:rPr>
                <w:rFonts w:cs="Tahoma"/>
                <w:color w:val="000000"/>
                <w:lang w:val="en-GB"/>
              </w:rPr>
              <w:t>as employees from the “public</w:t>
            </w:r>
            <w:r w:rsidR="004D3A2E">
              <w:rPr>
                <w:rFonts w:cs="Tahoma"/>
                <w:color w:val="000000"/>
                <w:lang w:val="en-GB"/>
              </w:rPr>
              <w:t>”</w:t>
            </w:r>
            <w:r w:rsidRPr="00794C7B">
              <w:rPr>
                <w:rFonts w:cs="Tahoma"/>
                <w:color w:val="000000"/>
                <w:lang w:val="en-GB"/>
              </w:rPr>
              <w:t xml:space="preserve"> or </w:t>
            </w:r>
            <w:r w:rsidR="004D3A2E">
              <w:rPr>
                <w:rFonts w:cs="Tahoma"/>
                <w:color w:val="000000"/>
                <w:lang w:val="en-GB"/>
              </w:rPr>
              <w:t>“</w:t>
            </w:r>
            <w:r w:rsidRPr="00794C7B">
              <w:rPr>
                <w:rFonts w:cs="Tahoma"/>
                <w:color w:val="000000"/>
                <w:lang w:val="en-GB"/>
              </w:rPr>
              <w:t xml:space="preserve">private sector” or as academic or administrative staff from the “university sector” </w:t>
            </w:r>
            <w:r w:rsidRPr="0019311C">
              <w:rPr>
                <w:rFonts w:cs="Tahoma"/>
                <w:b/>
                <w:color w:val="000000"/>
                <w:lang w:val="en-GB"/>
              </w:rPr>
              <w:t>should still be working in the sector they applied from</w:t>
            </w:r>
            <w:r w:rsidRPr="00794C7B">
              <w:rPr>
                <w:rFonts w:cs="Tahoma"/>
                <w:color w:val="000000"/>
                <w:lang w:val="en-GB"/>
              </w:rPr>
              <w:t xml:space="preserve"> </w:t>
            </w:r>
            <w:r w:rsidRPr="0019311C">
              <w:rPr>
                <w:rFonts w:cs="Tahoma"/>
                <w:color w:val="000000"/>
                <w:u w:val="single"/>
                <w:lang w:val="en-GB"/>
              </w:rPr>
              <w:t>once they are notified that they have been recommended for award of a scholarship</w:t>
            </w:r>
            <w:r w:rsidRPr="00794C7B">
              <w:rPr>
                <w:rFonts w:cs="Tahoma"/>
                <w:color w:val="000000"/>
                <w:lang w:val="en-GB"/>
              </w:rPr>
              <w:t xml:space="preserve"> and </w:t>
            </w:r>
            <w:r w:rsidRPr="0019311C">
              <w:rPr>
                <w:rFonts w:cs="Tahoma"/>
                <w:b/>
                <w:color w:val="000000"/>
                <w:lang w:val="en-GB"/>
              </w:rPr>
              <w:t>will be requested to submit relevant supporting documents</w:t>
            </w:r>
            <w:r w:rsidRPr="00794C7B">
              <w:rPr>
                <w:rFonts w:cs="Tahoma"/>
                <w:color w:val="000000"/>
                <w:lang w:val="en-GB"/>
              </w:rPr>
              <w:t>. In case an applicant fails to submit the requested documents</w:t>
            </w:r>
            <w:r w:rsidR="004D3A2E">
              <w:rPr>
                <w:rFonts w:cs="Tahoma"/>
                <w:color w:val="000000"/>
                <w:lang w:val="en-GB"/>
              </w:rPr>
              <w:t xml:space="preserve"> until the given deadline</w:t>
            </w:r>
            <w:r w:rsidRPr="00794C7B">
              <w:rPr>
                <w:rFonts w:cs="Tahoma"/>
                <w:color w:val="000000"/>
                <w:lang w:val="en-GB"/>
              </w:rPr>
              <w:t xml:space="preserve">, they will not be allowed to continue the contracting process and will be deemed to be withdrawn from the scholarship. </w:t>
            </w:r>
          </w:p>
        </w:tc>
      </w:tr>
      <w:tr w:rsidR="007A2273" w:rsidRPr="00794C7B" w:rsidTr="0036006D">
        <w:trPr>
          <w:trHeight w:val="454"/>
        </w:trPr>
        <w:tc>
          <w:tcPr>
            <w:tcW w:w="587" w:type="dxa"/>
            <w:tcBorders>
              <w:right w:val="single" w:sz="4" w:space="0" w:color="auto"/>
            </w:tcBorders>
            <w:vAlign w:val="center"/>
          </w:tcPr>
          <w:p w:rsidR="007A2273" w:rsidRPr="00794C7B" w:rsidRDefault="006215D5" w:rsidP="007A2273">
            <w:pPr>
              <w:widowControl/>
              <w:tabs>
                <w:tab w:val="left" w:pos="3423"/>
              </w:tabs>
              <w:jc w:val="center"/>
              <w:rPr>
                <w:b/>
                <w:lang w:val="en-GB"/>
              </w:rPr>
            </w:pPr>
            <w:r>
              <w:rPr>
                <w:b/>
                <w:lang w:val="en-GB"/>
              </w:rPr>
              <w:t>9</w:t>
            </w:r>
          </w:p>
        </w:tc>
        <w:tc>
          <w:tcPr>
            <w:tcW w:w="9620" w:type="dxa"/>
            <w:tcBorders>
              <w:top w:val="nil"/>
              <w:left w:val="single" w:sz="4" w:space="0" w:color="auto"/>
              <w:bottom w:val="single" w:sz="4" w:space="0" w:color="auto"/>
              <w:right w:val="single" w:sz="4" w:space="0" w:color="auto"/>
            </w:tcBorders>
            <w:shd w:val="clear" w:color="auto" w:fill="auto"/>
            <w:vAlign w:val="center"/>
          </w:tcPr>
          <w:p w:rsidR="006215D5" w:rsidRDefault="006215D5" w:rsidP="006215D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If I change my job/workplace after the application but still work in the same sector, do I need to inform Central Finance and Contract Units or provide any document indicating this update?</w:t>
            </w:r>
          </w:p>
          <w:p w:rsidR="006215D5" w:rsidRPr="00794C7B" w:rsidRDefault="006215D5" w:rsidP="006215D5">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No.</w:t>
            </w:r>
            <w:r w:rsidR="00D90400">
              <w:rPr>
                <w:rFonts w:cs="Tahoma"/>
                <w:color w:val="000000"/>
                <w:lang w:val="en-GB"/>
              </w:rPr>
              <w:t xml:space="preserve"> Please also see Answer-8.</w:t>
            </w:r>
          </w:p>
        </w:tc>
      </w:tr>
      <w:tr w:rsidR="007A2273" w:rsidRPr="00794C7B" w:rsidTr="0036006D">
        <w:trPr>
          <w:trHeight w:val="454"/>
        </w:trPr>
        <w:tc>
          <w:tcPr>
            <w:tcW w:w="587" w:type="dxa"/>
            <w:tcBorders>
              <w:right w:val="single" w:sz="4" w:space="0" w:color="auto"/>
            </w:tcBorders>
            <w:vAlign w:val="center"/>
          </w:tcPr>
          <w:p w:rsidR="007A2273" w:rsidRPr="00794C7B" w:rsidRDefault="006215D5" w:rsidP="007A2273">
            <w:pPr>
              <w:widowControl/>
              <w:tabs>
                <w:tab w:val="left" w:pos="3423"/>
              </w:tabs>
              <w:jc w:val="center"/>
              <w:rPr>
                <w:b/>
                <w:lang w:val="en-GB"/>
              </w:rPr>
            </w:pPr>
            <w:r>
              <w:rPr>
                <w:b/>
                <w:lang w:val="en-GB"/>
              </w:rPr>
              <w:t>10</w:t>
            </w:r>
          </w:p>
        </w:tc>
        <w:tc>
          <w:tcPr>
            <w:tcW w:w="9620" w:type="dxa"/>
            <w:tcBorders>
              <w:top w:val="nil"/>
              <w:left w:val="single" w:sz="4" w:space="0" w:color="auto"/>
              <w:bottom w:val="single" w:sz="4" w:space="0" w:color="auto"/>
              <w:right w:val="single" w:sz="4" w:space="0" w:color="auto"/>
            </w:tcBorders>
            <w:shd w:val="clear" w:color="auto" w:fill="auto"/>
            <w:vAlign w:val="center"/>
          </w:tcPr>
          <w:p w:rsidR="006215D5" w:rsidRDefault="006215D5" w:rsidP="006215D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 am currently working in the private sector</w:t>
            </w:r>
            <w:r w:rsidR="00D90400">
              <w:rPr>
                <w:rFonts w:cs="Tahoma"/>
                <w:color w:val="000000"/>
                <w:lang w:val="en-GB"/>
              </w:rPr>
              <w:t>;</w:t>
            </w:r>
            <w:r w:rsidR="00D90400" w:rsidRPr="00794C7B">
              <w:rPr>
                <w:rFonts w:cs="Tahoma"/>
                <w:color w:val="000000"/>
                <w:lang w:val="en-GB"/>
              </w:rPr>
              <w:t xml:space="preserve"> </w:t>
            </w:r>
            <w:r w:rsidRPr="00794C7B">
              <w:rPr>
                <w:rFonts w:cs="Tahoma"/>
                <w:color w:val="000000"/>
                <w:lang w:val="en-GB"/>
              </w:rPr>
              <w:t xml:space="preserve">however, I am also registered as an undergraduate/graduate student. Would this be a problem if </w:t>
            </w:r>
            <w:r w:rsidR="00DD3660">
              <w:rPr>
                <w:rFonts w:cs="Tahoma"/>
                <w:color w:val="000000"/>
                <w:lang w:val="en-GB"/>
              </w:rPr>
              <w:t xml:space="preserve">I </w:t>
            </w:r>
            <w:r w:rsidRPr="00794C7B">
              <w:rPr>
                <w:rFonts w:cs="Tahoma"/>
                <w:color w:val="000000"/>
                <w:lang w:val="en-GB"/>
              </w:rPr>
              <w:t>apply from the private sector?</w:t>
            </w:r>
          </w:p>
          <w:p w:rsidR="007A2273" w:rsidRPr="006215D5" w:rsidRDefault="006215D5" w:rsidP="00794C7B">
            <w:pPr>
              <w:widowControl/>
              <w:tabs>
                <w:tab w:val="left" w:pos="3423"/>
              </w:tabs>
              <w:jc w:val="both"/>
              <w:rPr>
                <w:rFonts w:cs="Tahoma"/>
                <w:color w:val="000000"/>
                <w:lang w:val="en-GB"/>
              </w:rPr>
            </w:pPr>
            <w:r w:rsidRPr="009E4090">
              <w:rPr>
                <w:rFonts w:cs="Tahoma"/>
                <w:b/>
                <w:color w:val="000000"/>
                <w:lang w:val="en-GB"/>
              </w:rPr>
              <w:t>C:</w:t>
            </w:r>
            <w:r w:rsidRPr="00794C7B">
              <w:rPr>
                <w:rFonts w:cs="Tahoma"/>
                <w:color w:val="000000"/>
                <w:lang w:val="en-GB"/>
              </w:rPr>
              <w:t xml:space="preserve"> Those who meet the required criteria and who can submit the required documents of the private sector may apply. </w:t>
            </w:r>
          </w:p>
        </w:tc>
      </w:tr>
      <w:tr w:rsidR="006215D5" w:rsidRPr="00794C7B" w:rsidTr="0036006D">
        <w:trPr>
          <w:trHeight w:val="454"/>
        </w:trPr>
        <w:tc>
          <w:tcPr>
            <w:tcW w:w="587" w:type="dxa"/>
            <w:tcBorders>
              <w:right w:val="single" w:sz="4" w:space="0" w:color="auto"/>
            </w:tcBorders>
            <w:vAlign w:val="center"/>
          </w:tcPr>
          <w:p w:rsidR="006215D5" w:rsidRPr="00794C7B" w:rsidRDefault="006215D5" w:rsidP="007A2273">
            <w:pPr>
              <w:widowControl/>
              <w:tabs>
                <w:tab w:val="left" w:pos="3423"/>
              </w:tabs>
              <w:jc w:val="center"/>
              <w:rPr>
                <w:b/>
                <w:lang w:val="en-GB"/>
              </w:rPr>
            </w:pPr>
            <w:r>
              <w:rPr>
                <w:b/>
                <w:lang w:val="en-GB"/>
              </w:rPr>
              <w:lastRenderedPageBreak/>
              <w:t>11</w:t>
            </w:r>
          </w:p>
        </w:tc>
        <w:tc>
          <w:tcPr>
            <w:tcW w:w="9620" w:type="dxa"/>
            <w:tcBorders>
              <w:top w:val="nil"/>
              <w:left w:val="single" w:sz="4" w:space="0" w:color="auto"/>
              <w:bottom w:val="single" w:sz="4" w:space="0" w:color="auto"/>
              <w:right w:val="single" w:sz="4" w:space="0" w:color="auto"/>
            </w:tcBorders>
            <w:shd w:val="clear" w:color="auto" w:fill="auto"/>
            <w:vAlign w:val="center"/>
          </w:tcPr>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Although I am residing in </w:t>
            </w:r>
            <w:proofErr w:type="spellStart"/>
            <w:r w:rsidRPr="00794C7B">
              <w:rPr>
                <w:rFonts w:cs="Tahoma"/>
                <w:color w:val="000000"/>
                <w:lang w:val="en-GB"/>
              </w:rPr>
              <w:t>Türkiye</w:t>
            </w:r>
            <w:proofErr w:type="spellEnd"/>
            <w:r w:rsidRPr="00794C7B">
              <w:rPr>
                <w:rFonts w:cs="Tahoma"/>
                <w:color w:val="000000"/>
                <w:lang w:val="en-GB"/>
              </w:rPr>
              <w:t>, I am working for a foreign company and paying my own social insurance premiums and taxes</w:t>
            </w:r>
            <w:r w:rsidR="00A833EC">
              <w:rPr>
                <w:rFonts w:cs="Tahoma"/>
                <w:color w:val="000000"/>
                <w:lang w:val="en-GB"/>
              </w:rPr>
              <w:t>.</w:t>
            </w:r>
            <w:r w:rsidRPr="00794C7B">
              <w:rPr>
                <w:rFonts w:cs="Tahoma"/>
                <w:color w:val="000000"/>
                <w:lang w:val="en-GB"/>
              </w:rPr>
              <w:t xml:space="preserve"> For applicants working in the private sector is it essential for the employer company to be in </w:t>
            </w:r>
            <w:proofErr w:type="spellStart"/>
            <w:r w:rsidRPr="00794C7B">
              <w:rPr>
                <w:rFonts w:cs="Tahoma"/>
                <w:color w:val="000000"/>
                <w:lang w:val="en-GB"/>
              </w:rPr>
              <w:t>Türkiye</w:t>
            </w:r>
            <w:proofErr w:type="spellEnd"/>
            <w:r w:rsidRPr="00794C7B">
              <w:rPr>
                <w:rFonts w:cs="Tahoma"/>
                <w:color w:val="000000"/>
                <w:lang w:val="en-GB"/>
              </w:rPr>
              <w:t>?</w:t>
            </w:r>
          </w:p>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C:</w:t>
            </w:r>
            <w:r w:rsidR="00D90400">
              <w:rPr>
                <w:rFonts w:eastAsia="Times New Roman" w:cs="Tahoma"/>
                <w:lang w:val="en-GB"/>
              </w:rPr>
              <w:t xml:space="preserve"> Prior opinion/approval cannot be given for the eligibility of an applicant. I</w:t>
            </w:r>
            <w:r w:rsidR="00D90400" w:rsidRPr="00EB6CEC">
              <w:rPr>
                <w:rFonts w:eastAsia="Times New Roman" w:cs="Tahoma"/>
                <w:lang w:val="en-GB"/>
              </w:rPr>
              <w:t>n order to be eligible</w:t>
            </w:r>
            <w:r w:rsidR="00D90400">
              <w:rPr>
                <w:rFonts w:eastAsia="Times New Roman" w:cs="Tahoma"/>
                <w:lang w:val="en-GB"/>
              </w:rPr>
              <w:t>,</w:t>
            </w:r>
            <w:r w:rsidR="00D90400" w:rsidRPr="00EB6CEC">
              <w:rPr>
                <w:rFonts w:eastAsia="Times New Roman" w:cs="Tahoma"/>
                <w:lang w:val="en-GB"/>
              </w:rPr>
              <w:t xml:space="preserve"> the applicants should be </w:t>
            </w:r>
            <w:r w:rsidR="00D90400">
              <w:rPr>
                <w:rFonts w:eastAsia="Times New Roman" w:cs="Tahoma"/>
                <w:lang w:val="en-GB"/>
              </w:rPr>
              <w:t>working in</w:t>
            </w:r>
            <w:r w:rsidR="00D90400" w:rsidRPr="00EB6CEC">
              <w:rPr>
                <w:rFonts w:eastAsia="Times New Roman" w:cs="Tahoma"/>
                <w:lang w:val="en-GB"/>
              </w:rPr>
              <w:t xml:space="preserve"> </w:t>
            </w:r>
            <w:r w:rsidR="00D90400">
              <w:rPr>
                <w:rFonts w:eastAsia="Times New Roman" w:cs="Tahoma"/>
                <w:lang w:val="en-GB"/>
              </w:rPr>
              <w:t>private sector</w:t>
            </w:r>
            <w:r w:rsidR="00D90400" w:rsidRPr="00EB6CEC">
              <w:rPr>
                <w:rFonts w:eastAsia="Times New Roman" w:cs="Tahoma"/>
                <w:lang w:val="en-GB"/>
              </w:rPr>
              <w:t xml:space="preserve"> “in </w:t>
            </w:r>
            <w:proofErr w:type="spellStart"/>
            <w:r w:rsidR="00D90400">
              <w:rPr>
                <w:rFonts w:eastAsia="Times New Roman" w:cs="Tahoma"/>
                <w:lang w:val="en-GB"/>
              </w:rPr>
              <w:t>Türkiye</w:t>
            </w:r>
            <w:proofErr w:type="spellEnd"/>
            <w:r w:rsidR="00D90400" w:rsidRPr="00EB6CEC">
              <w:rPr>
                <w:rFonts w:eastAsia="Times New Roman" w:cs="Tahoma"/>
                <w:lang w:val="en-GB"/>
              </w:rPr>
              <w:t xml:space="preserve">” </w:t>
            </w:r>
            <w:r w:rsidR="00D90400">
              <w:rPr>
                <w:rFonts w:eastAsia="Times New Roman" w:cs="Tahoma"/>
                <w:lang w:val="en-GB"/>
              </w:rPr>
              <w:t>(</w:t>
            </w:r>
            <w:r w:rsidR="00D90400" w:rsidRPr="00D90400">
              <w:rPr>
                <w:rFonts w:eastAsia="Times New Roman" w:cs="Tahoma"/>
                <w:lang w:val="en-GB"/>
              </w:rPr>
              <w:t>including the employees of resident diplomatic missions, Non-Governmental Organisations, etc</w:t>
            </w:r>
            <w:r w:rsidR="00D90400">
              <w:rPr>
                <w:rFonts w:eastAsia="Times New Roman" w:cs="Tahoma"/>
                <w:lang w:val="en-GB"/>
              </w:rPr>
              <w:t xml:space="preserve">.) </w:t>
            </w:r>
            <w:r w:rsidR="00D90400" w:rsidRPr="00EB6CEC">
              <w:rPr>
                <w:rFonts w:eastAsia="Times New Roman" w:cs="Tahoma"/>
                <w:lang w:val="en-GB"/>
              </w:rPr>
              <w:t>and submit all the relevant documents specified in the Announcement.</w:t>
            </w:r>
            <w:r w:rsidR="00D90400">
              <w:rPr>
                <w:rFonts w:eastAsia="Times New Roman" w:cs="Tahoma"/>
                <w:lang w:val="en-GB"/>
              </w:rPr>
              <w:t xml:space="preserve"> Please also see section 2.1 of the Announcement for further details.</w:t>
            </w:r>
          </w:p>
        </w:tc>
      </w:tr>
      <w:tr w:rsidR="006215D5" w:rsidRPr="00794C7B" w:rsidTr="0036006D">
        <w:trPr>
          <w:trHeight w:val="454"/>
        </w:trPr>
        <w:tc>
          <w:tcPr>
            <w:tcW w:w="587" w:type="dxa"/>
            <w:tcBorders>
              <w:right w:val="single" w:sz="4" w:space="0" w:color="auto"/>
            </w:tcBorders>
            <w:vAlign w:val="center"/>
          </w:tcPr>
          <w:p w:rsidR="006215D5" w:rsidRDefault="006215D5" w:rsidP="007A2273">
            <w:pPr>
              <w:widowControl/>
              <w:tabs>
                <w:tab w:val="left" w:pos="3423"/>
              </w:tabs>
              <w:jc w:val="center"/>
              <w:rPr>
                <w:b/>
                <w:lang w:val="en-GB"/>
              </w:rPr>
            </w:pPr>
            <w:r>
              <w:rPr>
                <w:b/>
                <w:lang w:val="en-GB"/>
              </w:rPr>
              <w:t>12</w:t>
            </w:r>
          </w:p>
        </w:tc>
        <w:tc>
          <w:tcPr>
            <w:tcW w:w="9620" w:type="dxa"/>
            <w:tcBorders>
              <w:top w:val="nil"/>
              <w:left w:val="single" w:sz="4" w:space="0" w:color="auto"/>
              <w:bottom w:val="single" w:sz="4" w:space="0" w:color="auto"/>
              <w:right w:val="single" w:sz="4" w:space="0" w:color="auto"/>
            </w:tcBorders>
            <w:shd w:val="clear" w:color="auto" w:fill="auto"/>
            <w:vAlign w:val="center"/>
          </w:tcPr>
          <w:p w:rsidR="006215D5" w:rsidRDefault="006215D5" w:rsidP="006215D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Will it present a problem if the employment document from the private sector indicates fixed term contract employment (such as for a period of 3 months)?</w:t>
            </w:r>
          </w:p>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C:</w:t>
            </w:r>
            <w:r w:rsidRPr="00794C7B">
              <w:rPr>
                <w:rFonts w:cs="Tahoma"/>
                <w:color w:val="000000"/>
                <w:lang w:val="en-GB"/>
              </w:rPr>
              <w:t xml:space="preserve"> No. On the other hand, please note that those who applied from the private sector </w:t>
            </w:r>
            <w:r w:rsidRPr="0019311C">
              <w:rPr>
                <w:rFonts w:cs="Tahoma"/>
                <w:b/>
                <w:color w:val="000000"/>
                <w:lang w:val="en-GB"/>
              </w:rPr>
              <w:t xml:space="preserve">should still be working in the sector they applied from </w:t>
            </w:r>
            <w:r w:rsidRPr="00794C7B">
              <w:rPr>
                <w:rFonts w:cs="Tahoma"/>
                <w:color w:val="000000"/>
                <w:lang w:val="en-GB"/>
              </w:rPr>
              <w:t>once they are notified that they have been recommended for award of a scholarship.</w:t>
            </w:r>
          </w:p>
        </w:tc>
      </w:tr>
      <w:tr w:rsidR="006215D5" w:rsidRPr="00794C7B" w:rsidTr="0036006D">
        <w:trPr>
          <w:trHeight w:val="454"/>
        </w:trPr>
        <w:tc>
          <w:tcPr>
            <w:tcW w:w="587" w:type="dxa"/>
            <w:tcBorders>
              <w:right w:val="single" w:sz="4" w:space="0" w:color="auto"/>
            </w:tcBorders>
            <w:vAlign w:val="center"/>
          </w:tcPr>
          <w:p w:rsidR="006215D5" w:rsidRPr="00794C7B" w:rsidRDefault="006215D5" w:rsidP="007A2273">
            <w:pPr>
              <w:widowControl/>
              <w:tabs>
                <w:tab w:val="left" w:pos="3423"/>
              </w:tabs>
              <w:jc w:val="center"/>
              <w:rPr>
                <w:b/>
                <w:lang w:val="en-GB"/>
              </w:rPr>
            </w:pPr>
            <w:r>
              <w:rPr>
                <w:b/>
                <w:lang w:val="en-GB"/>
              </w:rPr>
              <w:t>13</w:t>
            </w:r>
          </w:p>
        </w:tc>
        <w:tc>
          <w:tcPr>
            <w:tcW w:w="9620" w:type="dxa"/>
            <w:tcBorders>
              <w:top w:val="nil"/>
              <w:left w:val="single" w:sz="4" w:space="0" w:color="auto"/>
              <w:bottom w:val="single" w:sz="4" w:space="0" w:color="auto"/>
              <w:right w:val="single" w:sz="4" w:space="0" w:color="auto"/>
            </w:tcBorders>
            <w:shd w:val="clear" w:color="auto" w:fill="auto"/>
            <w:vAlign w:val="center"/>
          </w:tcPr>
          <w:p w:rsidR="006215D5" w:rsidRDefault="006215D5" w:rsidP="006215D5">
            <w:pPr>
              <w:widowControl/>
              <w:tabs>
                <w:tab w:val="left" w:pos="3423"/>
              </w:tabs>
              <w:jc w:val="both"/>
              <w:rPr>
                <w:rFonts w:cs="Tahoma"/>
                <w:color w:val="000000"/>
                <w:lang w:val="en-GB"/>
              </w:rPr>
            </w:pPr>
            <w:r w:rsidRPr="009E4090">
              <w:rPr>
                <w:rFonts w:cs="Tahoma"/>
                <w:b/>
                <w:color w:val="000000"/>
                <w:lang w:val="en-GB"/>
              </w:rPr>
              <w:t>Q:</w:t>
            </w:r>
            <w:r>
              <w:rPr>
                <w:rFonts w:cs="Tahoma"/>
                <w:color w:val="000000"/>
                <w:lang w:val="en-GB"/>
              </w:rPr>
              <w:t xml:space="preserve"> I am</w:t>
            </w:r>
            <w:r w:rsidRPr="00794C7B">
              <w:rPr>
                <w:rFonts w:cs="Tahoma"/>
                <w:color w:val="000000"/>
                <w:lang w:val="en-GB"/>
              </w:rPr>
              <w:t xml:space="preserve"> currently a PhD student; can I apply to the Jean Monnet Scholarship Programme for a graduate study?</w:t>
            </w:r>
          </w:p>
          <w:p w:rsidR="006215D5" w:rsidRPr="00794C7B" w:rsidRDefault="006215D5" w:rsidP="006215D5">
            <w:pPr>
              <w:widowControl/>
              <w:tabs>
                <w:tab w:val="left" w:pos="3423"/>
              </w:tabs>
              <w:jc w:val="both"/>
              <w:rPr>
                <w:rFonts w:cs="Tahoma"/>
                <w:color w:val="000000"/>
                <w:lang w:val="en-GB"/>
              </w:rPr>
            </w:pPr>
            <w:r w:rsidRPr="009E4090">
              <w:rPr>
                <w:rFonts w:cs="Tahoma"/>
                <w:b/>
                <w:color w:val="000000"/>
                <w:lang w:val="en-GB"/>
              </w:rPr>
              <w:t>C:</w:t>
            </w:r>
            <w:r w:rsidRPr="00794C7B">
              <w:rPr>
                <w:rFonts w:cs="Tahoma"/>
                <w:color w:val="000000"/>
                <w:lang w:val="en-GB"/>
              </w:rPr>
              <w:t xml:space="preserve"> Yes, as long </w:t>
            </w:r>
            <w:r w:rsidR="009D173B">
              <w:rPr>
                <w:rFonts w:cs="Tahoma"/>
                <w:color w:val="000000"/>
                <w:lang w:val="en-GB"/>
              </w:rPr>
              <w:t xml:space="preserve">as </w:t>
            </w:r>
            <w:r w:rsidRPr="00794C7B">
              <w:rPr>
                <w:rFonts w:cs="Tahoma"/>
                <w:color w:val="000000"/>
                <w:lang w:val="en-GB"/>
              </w:rPr>
              <w:t>you fulfil the eligibility criteria stated in the Announcement, you may apply.</w:t>
            </w:r>
          </w:p>
        </w:tc>
      </w:tr>
      <w:tr w:rsidR="007A2273" w:rsidRPr="00794C7B" w:rsidTr="0036006D">
        <w:trPr>
          <w:trHeight w:val="454"/>
        </w:trPr>
        <w:tc>
          <w:tcPr>
            <w:tcW w:w="587" w:type="dxa"/>
            <w:tcBorders>
              <w:right w:val="single" w:sz="4" w:space="0" w:color="auto"/>
            </w:tcBorders>
            <w:vAlign w:val="center"/>
          </w:tcPr>
          <w:p w:rsidR="007A2273" w:rsidRPr="00794C7B" w:rsidRDefault="006215D5" w:rsidP="007A2273">
            <w:pPr>
              <w:widowControl/>
              <w:tabs>
                <w:tab w:val="left" w:pos="3423"/>
              </w:tabs>
              <w:jc w:val="center"/>
              <w:rPr>
                <w:b/>
                <w:lang w:val="en-GB"/>
              </w:rPr>
            </w:pPr>
            <w:r>
              <w:rPr>
                <w:b/>
                <w:lang w:val="en-GB"/>
              </w:rPr>
              <w:t>14</w:t>
            </w:r>
          </w:p>
        </w:tc>
        <w:tc>
          <w:tcPr>
            <w:tcW w:w="9620" w:type="dxa"/>
            <w:tcBorders>
              <w:top w:val="nil"/>
              <w:left w:val="single" w:sz="4" w:space="0" w:color="auto"/>
              <w:bottom w:val="single" w:sz="4" w:space="0" w:color="auto"/>
              <w:right w:val="single" w:sz="4" w:space="0" w:color="auto"/>
            </w:tcBorders>
            <w:shd w:val="clear" w:color="auto" w:fill="auto"/>
            <w:vAlign w:val="center"/>
          </w:tcPr>
          <w:p w:rsidR="00794C7B" w:rsidRPr="00794C7B" w:rsidRDefault="007A2273" w:rsidP="00794C7B">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 am a graduate student. Do I have to apply at the thesis stage (final year) of my study or may I apply while taking courses?</w:t>
            </w:r>
          </w:p>
          <w:p w:rsidR="007A2273" w:rsidRPr="00794C7B" w:rsidRDefault="007A2273" w:rsidP="00794C7B">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You may apply at any stage of your graduate programme.</w:t>
            </w:r>
          </w:p>
        </w:tc>
      </w:tr>
      <w:tr w:rsidR="007A2273" w:rsidRPr="00794C7B" w:rsidTr="0036006D">
        <w:trPr>
          <w:trHeight w:val="454"/>
        </w:trPr>
        <w:tc>
          <w:tcPr>
            <w:tcW w:w="587" w:type="dxa"/>
            <w:tcBorders>
              <w:right w:val="single" w:sz="4" w:space="0" w:color="auto"/>
            </w:tcBorders>
            <w:vAlign w:val="center"/>
          </w:tcPr>
          <w:p w:rsidR="007A2273" w:rsidRPr="00794C7B" w:rsidRDefault="006215D5" w:rsidP="007A2273">
            <w:pPr>
              <w:widowControl/>
              <w:tabs>
                <w:tab w:val="left" w:pos="3423"/>
              </w:tabs>
              <w:jc w:val="center"/>
              <w:rPr>
                <w:b/>
                <w:lang w:val="en-GB"/>
              </w:rPr>
            </w:pPr>
            <w:r>
              <w:rPr>
                <w:b/>
                <w:lang w:val="en-GB"/>
              </w:rPr>
              <w:t>15</w:t>
            </w:r>
          </w:p>
        </w:tc>
        <w:tc>
          <w:tcPr>
            <w:tcW w:w="9620" w:type="dxa"/>
            <w:tcBorders>
              <w:top w:val="nil"/>
              <w:left w:val="single" w:sz="4" w:space="0" w:color="auto"/>
              <w:bottom w:val="single" w:sz="4" w:space="0" w:color="auto"/>
              <w:right w:val="single" w:sz="4" w:space="0" w:color="auto"/>
            </w:tcBorders>
            <w:shd w:val="clear" w:color="auto" w:fill="auto"/>
            <w:vAlign w:val="center"/>
          </w:tcPr>
          <w:p w:rsidR="00794C7B" w:rsidRPr="00794C7B" w:rsidRDefault="007A2273" w:rsidP="00794C7B">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 am enrolled to a distance learning graduate programm</w:t>
            </w:r>
            <w:r w:rsidR="00794C7B">
              <w:rPr>
                <w:rFonts w:cs="Tahoma"/>
                <w:color w:val="000000"/>
                <w:lang w:val="en-GB"/>
              </w:rPr>
              <w:t xml:space="preserve">e without dissertation in </w:t>
            </w:r>
            <w:proofErr w:type="spellStart"/>
            <w:r w:rsidR="00794C7B">
              <w:rPr>
                <w:rFonts w:cs="Tahoma"/>
                <w:color w:val="000000"/>
                <w:lang w:val="en-GB"/>
              </w:rPr>
              <w:t>Türkiye</w:t>
            </w:r>
            <w:proofErr w:type="spellEnd"/>
            <w:r w:rsidRPr="00794C7B">
              <w:rPr>
                <w:rFonts w:cs="Tahoma"/>
                <w:color w:val="000000"/>
                <w:lang w:val="en-GB"/>
              </w:rPr>
              <w:t>. May I apply from university sector?</w:t>
            </w:r>
          </w:p>
          <w:p w:rsidR="007A2273" w:rsidRPr="00794C7B" w:rsidRDefault="007A2273" w:rsidP="00794C7B">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Yes. Students who are enrolled to a distance learning graduate</w:t>
            </w:r>
            <w:r w:rsidR="00794C7B">
              <w:rPr>
                <w:rFonts w:cs="Tahoma"/>
                <w:color w:val="000000"/>
                <w:lang w:val="en-GB"/>
              </w:rPr>
              <w:t xml:space="preserve"> programme </w:t>
            </w:r>
            <w:r w:rsidR="00794C7B" w:rsidRPr="0019311C">
              <w:rPr>
                <w:rFonts w:cs="Tahoma"/>
                <w:b/>
                <w:color w:val="000000"/>
                <w:lang w:val="en-GB"/>
              </w:rPr>
              <w:t xml:space="preserve">in a university in </w:t>
            </w:r>
            <w:proofErr w:type="spellStart"/>
            <w:r w:rsidR="00794C7B" w:rsidRPr="0019311C">
              <w:rPr>
                <w:rFonts w:cs="Tahoma"/>
                <w:b/>
                <w:color w:val="000000"/>
                <w:lang w:val="en-GB"/>
              </w:rPr>
              <w:t>Türkiye</w:t>
            </w:r>
            <w:proofErr w:type="spellEnd"/>
            <w:r w:rsidR="00794C7B">
              <w:rPr>
                <w:rFonts w:cs="Tahoma"/>
                <w:color w:val="000000"/>
                <w:lang w:val="en-GB"/>
              </w:rPr>
              <w:t xml:space="preserve"> </w:t>
            </w:r>
            <w:r w:rsidRPr="00794C7B">
              <w:rPr>
                <w:rFonts w:cs="Tahoma"/>
                <w:color w:val="000000"/>
                <w:lang w:val="en-GB"/>
              </w:rPr>
              <w:t>with or without a dissertation may apply.</w:t>
            </w:r>
          </w:p>
        </w:tc>
      </w:tr>
      <w:tr w:rsidR="007A2273" w:rsidRPr="00794C7B" w:rsidTr="0036006D">
        <w:trPr>
          <w:trHeight w:val="454"/>
        </w:trPr>
        <w:tc>
          <w:tcPr>
            <w:tcW w:w="10207" w:type="dxa"/>
            <w:gridSpan w:val="2"/>
            <w:tcBorders>
              <w:right w:val="single" w:sz="4" w:space="0" w:color="auto"/>
            </w:tcBorders>
            <w:shd w:val="clear" w:color="auto" w:fill="BFBFBF" w:themeFill="background1" w:themeFillShade="BF"/>
            <w:vAlign w:val="center"/>
          </w:tcPr>
          <w:p w:rsidR="007A2273" w:rsidRPr="00794C7B" w:rsidRDefault="007A2273" w:rsidP="007A2273">
            <w:pPr>
              <w:widowControl/>
              <w:tabs>
                <w:tab w:val="left" w:pos="3423"/>
              </w:tabs>
              <w:jc w:val="center"/>
              <w:rPr>
                <w:b/>
                <w:bCs/>
                <w:lang w:val="en-GB"/>
              </w:rPr>
            </w:pPr>
            <w:r w:rsidRPr="00794C7B">
              <w:rPr>
                <w:b/>
                <w:bCs/>
                <w:lang w:val="en-GB"/>
              </w:rPr>
              <w:t>CGPA</w:t>
            </w:r>
          </w:p>
        </w:tc>
      </w:tr>
      <w:tr w:rsidR="00641F48" w:rsidRPr="00794C7B" w:rsidTr="0036006D">
        <w:trPr>
          <w:trHeight w:val="454"/>
        </w:trPr>
        <w:tc>
          <w:tcPr>
            <w:tcW w:w="587" w:type="dxa"/>
            <w:tcBorders>
              <w:right w:val="single" w:sz="4" w:space="0" w:color="auto"/>
            </w:tcBorders>
            <w:vAlign w:val="center"/>
          </w:tcPr>
          <w:p w:rsidR="00641F48" w:rsidRDefault="00641F48" w:rsidP="00641F48">
            <w:pPr>
              <w:widowControl/>
              <w:tabs>
                <w:tab w:val="left" w:pos="3423"/>
              </w:tabs>
              <w:jc w:val="center"/>
              <w:rPr>
                <w:b/>
                <w:lang w:val="en-GB"/>
              </w:rPr>
            </w:pPr>
            <w:r>
              <w:rPr>
                <w:b/>
                <w:lang w:val="en-GB"/>
              </w:rPr>
              <w:t>16</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Is there a requirement regarding duration of work experience when applying for a scholarship?</w:t>
            </w:r>
          </w:p>
          <w:p w:rsidR="00641F48" w:rsidRPr="009E4090" w:rsidRDefault="00641F48" w:rsidP="00641F48">
            <w:pPr>
              <w:widowControl/>
              <w:tabs>
                <w:tab w:val="left" w:pos="3423"/>
              </w:tabs>
              <w:jc w:val="both"/>
              <w:rPr>
                <w:rFonts w:cs="Tahoma"/>
                <w:b/>
                <w:color w:val="000000"/>
                <w:lang w:val="en-GB"/>
              </w:rPr>
            </w:pPr>
            <w:r w:rsidRPr="009E4090">
              <w:rPr>
                <w:rFonts w:cs="Tahoma"/>
                <w:b/>
                <w:color w:val="000000"/>
                <w:lang w:val="en-GB"/>
              </w:rPr>
              <w:t>C:</w:t>
            </w:r>
            <w:r w:rsidRPr="00794C7B">
              <w:rPr>
                <w:rFonts w:cs="Tahoma"/>
                <w:color w:val="000000"/>
                <w:lang w:val="en-GB"/>
              </w:rPr>
              <w:t xml:space="preserve"> Minimum 36-month work experience or a graduate degree is </w:t>
            </w:r>
            <w:r w:rsidRPr="0019311C">
              <w:rPr>
                <w:rFonts w:cs="Tahoma"/>
                <w:b/>
                <w:color w:val="000000"/>
                <w:lang w:val="en-GB"/>
              </w:rPr>
              <w:t>only required from the applicants whose CGPA is less than 2.70/4.00 or 70/100</w:t>
            </w:r>
            <w:r w:rsidRPr="00794C7B">
              <w:rPr>
                <w:rFonts w:cs="Tahoma"/>
                <w:color w:val="000000"/>
                <w:lang w:val="en-GB"/>
              </w:rPr>
              <w:t xml:space="preserve">. Otherwise, there is no minimum work experience requirement for application. </w:t>
            </w:r>
          </w:p>
        </w:tc>
      </w:tr>
      <w:tr w:rsidR="00641F48" w:rsidRPr="00794C7B" w:rsidTr="0036006D">
        <w:trPr>
          <w:trHeight w:val="454"/>
        </w:trPr>
        <w:tc>
          <w:tcPr>
            <w:tcW w:w="587" w:type="dxa"/>
            <w:tcBorders>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17</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My CGPA is under 2.70</w:t>
            </w:r>
            <w:r>
              <w:rPr>
                <w:rFonts w:cs="Tahoma"/>
                <w:color w:val="000000"/>
                <w:lang w:val="en-GB"/>
              </w:rPr>
              <w:t>/4.00</w:t>
            </w:r>
            <w:r w:rsidRPr="00794C7B">
              <w:rPr>
                <w:rFonts w:cs="Tahoma"/>
                <w:color w:val="000000"/>
                <w:lang w:val="en-GB"/>
              </w:rPr>
              <w:t>, therefore I will apply on the condition of 36</w:t>
            </w:r>
            <w:r>
              <w:rPr>
                <w:rFonts w:cs="Tahoma"/>
                <w:color w:val="000000"/>
                <w:lang w:val="en-GB"/>
              </w:rPr>
              <w:t>-</w:t>
            </w:r>
            <w:r w:rsidRPr="00794C7B">
              <w:rPr>
                <w:rFonts w:cs="Tahoma"/>
                <w:color w:val="000000"/>
                <w:lang w:val="en-GB"/>
              </w:rPr>
              <w:t>month work experience. However, part of my work experience is in the private sector and part in the public sector. Does all 36</w:t>
            </w:r>
            <w:r w:rsidR="00DD3660">
              <w:rPr>
                <w:rFonts w:cs="Tahoma"/>
                <w:color w:val="000000"/>
                <w:lang w:val="en-GB"/>
              </w:rPr>
              <w:t>-</w:t>
            </w:r>
            <w:r w:rsidRPr="00794C7B">
              <w:rPr>
                <w:rFonts w:cs="Tahoma"/>
                <w:color w:val="000000"/>
                <w:lang w:val="en-GB"/>
              </w:rPr>
              <w:t xml:space="preserve"> month work experience have to be in the same sector?</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No</w:t>
            </w:r>
            <w:r>
              <w:rPr>
                <w:rFonts w:cs="Tahoma"/>
                <w:color w:val="000000"/>
                <w:lang w:val="en-GB"/>
              </w:rPr>
              <w:t>,</w:t>
            </w:r>
            <w:r w:rsidRPr="00794C7B">
              <w:rPr>
                <w:rFonts w:cs="Tahoma"/>
                <w:color w:val="000000"/>
                <w:lang w:val="en-GB"/>
              </w:rPr>
              <w:t xml:space="preserve"> 36</w:t>
            </w:r>
            <w:r>
              <w:rPr>
                <w:rFonts w:cs="Tahoma"/>
                <w:color w:val="000000"/>
                <w:lang w:val="en-GB"/>
              </w:rPr>
              <w:t>-</w:t>
            </w:r>
            <w:r w:rsidRPr="00794C7B">
              <w:rPr>
                <w:rFonts w:cs="Tahoma"/>
                <w:color w:val="000000"/>
                <w:lang w:val="en-GB"/>
              </w:rPr>
              <w:t>month work experience does not necessarily have to be in the same sector.</w:t>
            </w:r>
            <w:r>
              <w:rPr>
                <w:rFonts w:cs="Tahoma"/>
                <w:color w:val="000000"/>
                <w:lang w:val="en-GB"/>
              </w:rPr>
              <w:t xml:space="preserve"> </w:t>
            </w:r>
            <w:r w:rsidRPr="00794C7B">
              <w:rPr>
                <w:rFonts w:cs="Tahoma"/>
                <w:color w:val="000000"/>
                <w:lang w:val="en-GB"/>
              </w:rPr>
              <w:t xml:space="preserve">Those who have a CGPA less than 2.70/4.00 or 70/100 may apply only on the condition that they have at least 36-month work experience </w:t>
            </w:r>
            <w:r w:rsidRPr="0019311C">
              <w:rPr>
                <w:rFonts w:cs="Tahoma"/>
                <w:b/>
                <w:color w:val="000000"/>
                <w:lang w:val="en-GB"/>
              </w:rPr>
              <w:t>or</w:t>
            </w:r>
            <w:r w:rsidRPr="00794C7B">
              <w:rPr>
                <w:rFonts w:cs="Tahoma"/>
                <w:color w:val="000000"/>
                <w:lang w:val="en-GB"/>
              </w:rPr>
              <w:t xml:space="preserve"> have completed a graduate programme (master’s or PhD). </w:t>
            </w:r>
          </w:p>
        </w:tc>
      </w:tr>
      <w:tr w:rsidR="00641F48" w:rsidRPr="00794C7B" w:rsidTr="0036006D">
        <w:trPr>
          <w:trHeight w:val="454"/>
        </w:trPr>
        <w:tc>
          <w:tcPr>
            <w:tcW w:w="587" w:type="dxa"/>
            <w:tcBorders>
              <w:right w:val="single" w:sz="4" w:space="0" w:color="auto"/>
            </w:tcBorders>
            <w:vAlign w:val="center"/>
          </w:tcPr>
          <w:p w:rsidR="00641F48" w:rsidRDefault="00641F48" w:rsidP="00641F48">
            <w:pPr>
              <w:widowControl/>
              <w:tabs>
                <w:tab w:val="left" w:pos="3423"/>
              </w:tabs>
              <w:jc w:val="center"/>
              <w:rPr>
                <w:b/>
                <w:lang w:val="en-GB"/>
              </w:rPr>
            </w:pPr>
            <w:r>
              <w:rPr>
                <w:b/>
                <w:lang w:val="en-GB"/>
              </w:rPr>
              <w:t>18</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Is it sufficient if</w:t>
            </w:r>
            <w:r>
              <w:rPr>
                <w:rFonts w:cs="Tahoma"/>
                <w:color w:val="000000"/>
                <w:lang w:val="en-GB"/>
              </w:rPr>
              <w:t xml:space="preserve"> the</w:t>
            </w:r>
            <w:r w:rsidRPr="00794C7B">
              <w:rPr>
                <w:rFonts w:cs="Tahoma"/>
                <w:color w:val="000000"/>
                <w:lang w:val="en-GB"/>
              </w:rPr>
              <w:t xml:space="preserve"> 36</w:t>
            </w:r>
            <w:r>
              <w:rPr>
                <w:rFonts w:cs="Tahoma"/>
                <w:color w:val="000000"/>
                <w:lang w:val="en-GB"/>
              </w:rPr>
              <w:t>-</w:t>
            </w:r>
            <w:r w:rsidRPr="00794C7B">
              <w:rPr>
                <w:rFonts w:cs="Tahoma"/>
                <w:color w:val="000000"/>
                <w:lang w:val="en-GB"/>
              </w:rPr>
              <w:t>month work experience is fulfilled on the day the application is submitted or should 36 months have been completed on 7 September 2023 when the applications announcement was published?</w:t>
            </w:r>
          </w:p>
          <w:p w:rsidR="00641F48" w:rsidRPr="00794C7B" w:rsidRDefault="00641F48" w:rsidP="00641F48">
            <w:pPr>
              <w:widowControl/>
              <w:tabs>
                <w:tab w:val="left" w:pos="3423"/>
              </w:tabs>
              <w:jc w:val="both"/>
              <w:rPr>
                <w:rFonts w:cs="Tahoma"/>
                <w:color w:val="000000"/>
                <w:lang w:val="en-GB"/>
              </w:rPr>
            </w:pPr>
            <w:r w:rsidRPr="009E4090">
              <w:rPr>
                <w:rFonts w:cs="Tahoma"/>
                <w:b/>
                <w:color w:val="000000"/>
                <w:lang w:val="en-GB"/>
              </w:rPr>
              <w:t>C:</w:t>
            </w:r>
            <w:r w:rsidRPr="00794C7B">
              <w:rPr>
                <w:rFonts w:cs="Tahoma"/>
                <w:color w:val="000000"/>
                <w:lang w:val="en-GB"/>
              </w:rPr>
              <w:t xml:space="preserve"> 36</w:t>
            </w:r>
            <w:r>
              <w:rPr>
                <w:rFonts w:cs="Tahoma"/>
                <w:color w:val="000000"/>
                <w:lang w:val="en-GB"/>
              </w:rPr>
              <w:t>-</w:t>
            </w:r>
            <w:r w:rsidRPr="00794C7B">
              <w:rPr>
                <w:rFonts w:cs="Tahoma"/>
                <w:color w:val="000000"/>
                <w:lang w:val="en-GB"/>
              </w:rPr>
              <w:t>month work experience will be calculat</w:t>
            </w:r>
            <w:r>
              <w:rPr>
                <w:rFonts w:cs="Tahoma"/>
                <w:color w:val="000000"/>
                <w:lang w:val="en-GB"/>
              </w:rPr>
              <w:t xml:space="preserve">ed based on the documents submitted by the applicants. Therefore, the day on which the application is submitted will be </w:t>
            </w:r>
            <w:proofErr w:type="gramStart"/>
            <w:r>
              <w:rPr>
                <w:rFonts w:cs="Tahoma"/>
                <w:color w:val="000000"/>
                <w:lang w:val="en-GB"/>
              </w:rPr>
              <w:t>taken into account</w:t>
            </w:r>
            <w:proofErr w:type="gramEnd"/>
            <w:r>
              <w:rPr>
                <w:rFonts w:cs="Tahoma"/>
                <w:color w:val="000000"/>
                <w:lang w:val="en-GB"/>
              </w:rPr>
              <w:t>.</w:t>
            </w:r>
          </w:p>
        </w:tc>
      </w:tr>
      <w:tr w:rsidR="00641F48" w:rsidRPr="00794C7B" w:rsidTr="0036006D">
        <w:trPr>
          <w:trHeight w:val="454"/>
        </w:trPr>
        <w:tc>
          <w:tcPr>
            <w:tcW w:w="10207" w:type="dxa"/>
            <w:gridSpan w:val="2"/>
            <w:tcBorders>
              <w:right w:val="single" w:sz="4" w:space="0" w:color="auto"/>
            </w:tcBorders>
            <w:shd w:val="clear" w:color="auto" w:fill="BFBFBF" w:themeFill="background1" w:themeFillShade="BF"/>
            <w:vAlign w:val="center"/>
          </w:tcPr>
          <w:p w:rsidR="00641F48" w:rsidRPr="00794C7B" w:rsidRDefault="00641F48" w:rsidP="00641F48">
            <w:pPr>
              <w:widowControl/>
              <w:tabs>
                <w:tab w:val="left" w:pos="3423"/>
              </w:tabs>
              <w:jc w:val="center"/>
              <w:rPr>
                <w:b/>
                <w:bCs/>
                <w:lang w:val="en-GB"/>
              </w:rPr>
            </w:pPr>
            <w:r w:rsidRPr="00794C7B">
              <w:rPr>
                <w:b/>
                <w:bCs/>
                <w:lang w:val="en-GB"/>
              </w:rPr>
              <w:t>TRANSCRIPTS AND GRADUATION DOCUMENTS</w:t>
            </w:r>
          </w:p>
        </w:tc>
      </w:tr>
      <w:tr w:rsidR="00641F48" w:rsidRPr="00794C7B" w:rsidTr="0036006D">
        <w:trPr>
          <w:trHeight w:val="454"/>
        </w:trPr>
        <w:tc>
          <w:tcPr>
            <w:tcW w:w="587" w:type="dxa"/>
            <w:tcBorders>
              <w:right w:val="single" w:sz="4" w:space="0" w:color="auto"/>
            </w:tcBorders>
            <w:vAlign w:val="center"/>
          </w:tcPr>
          <w:p w:rsidR="00641F48" w:rsidRPr="00794C7B" w:rsidRDefault="00641F48" w:rsidP="00641F48">
            <w:pPr>
              <w:widowControl/>
              <w:tabs>
                <w:tab w:val="left" w:pos="3423"/>
              </w:tabs>
              <w:jc w:val="center"/>
              <w:rPr>
                <w:b/>
                <w:lang w:val="en-GB"/>
              </w:rPr>
            </w:pPr>
            <w:r w:rsidRPr="00794C7B">
              <w:rPr>
                <w:b/>
                <w:lang w:val="en-GB"/>
              </w:rPr>
              <w:t>1</w:t>
            </w:r>
            <w:r>
              <w:rPr>
                <w:b/>
                <w:lang w:val="en-GB"/>
              </w:rPr>
              <w:t>9</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autoSpaceDE/>
              <w:autoSpaceDN/>
              <w:jc w:val="both"/>
              <w:rPr>
                <w:rFonts w:eastAsia="Times New Roman" w:cs="Tahoma"/>
                <w:color w:val="000000"/>
                <w:lang w:val="en-GB" w:eastAsia="en-GB"/>
              </w:rPr>
            </w:pPr>
            <w:r w:rsidRPr="009E4090">
              <w:rPr>
                <w:rFonts w:eastAsia="Times New Roman" w:cs="Tahoma"/>
                <w:b/>
                <w:color w:val="000000"/>
                <w:lang w:val="en-GB" w:eastAsia="en-GB"/>
              </w:rPr>
              <w:t>Q:</w:t>
            </w:r>
            <w:r w:rsidRPr="00794C7B">
              <w:rPr>
                <w:rFonts w:eastAsia="Times New Roman" w:cs="Tahoma"/>
                <w:color w:val="000000"/>
                <w:lang w:val="en-GB" w:eastAsia="en-GB"/>
              </w:rPr>
              <w:t xml:space="preserve"> As a senior undergraduate student</w:t>
            </w:r>
            <w:r w:rsidR="00DD3660">
              <w:rPr>
                <w:rFonts w:eastAsia="Times New Roman" w:cs="Tahoma"/>
                <w:color w:val="000000"/>
                <w:lang w:val="en-GB" w:eastAsia="en-GB"/>
              </w:rPr>
              <w:t>,</w:t>
            </w:r>
            <w:r w:rsidRPr="00794C7B">
              <w:rPr>
                <w:rFonts w:eastAsia="Times New Roman" w:cs="Tahoma"/>
                <w:color w:val="000000"/>
                <w:lang w:val="en-GB" w:eastAsia="en-GB"/>
              </w:rPr>
              <w:t xml:space="preserve"> I took courses abroad within the Erasmus Programme last term</w:t>
            </w:r>
            <w:r>
              <w:rPr>
                <w:rFonts w:eastAsia="Times New Roman" w:cs="Tahoma"/>
                <w:color w:val="000000"/>
                <w:lang w:val="en-GB" w:eastAsia="en-GB"/>
              </w:rPr>
              <w:t>,</w:t>
            </w:r>
            <w:r w:rsidRPr="00794C7B">
              <w:rPr>
                <w:rFonts w:eastAsia="Times New Roman" w:cs="Tahoma"/>
                <w:color w:val="000000"/>
                <w:lang w:val="en-GB" w:eastAsia="en-GB"/>
              </w:rPr>
              <w:t xml:space="preserve"> which is not yet reflected in my signed official university transcript. Can I apply?</w:t>
            </w:r>
          </w:p>
          <w:p w:rsidR="00641F48" w:rsidRPr="00794C7B" w:rsidRDefault="00641F48" w:rsidP="00641F48">
            <w:pPr>
              <w:widowControl/>
              <w:autoSpaceDE/>
              <w:autoSpaceDN/>
              <w:jc w:val="both"/>
              <w:rPr>
                <w:rFonts w:eastAsia="Times New Roman" w:cs="Tahoma"/>
                <w:color w:val="000000"/>
                <w:lang w:val="en-GB" w:eastAsia="en-GB" w:bidi="ar-SA"/>
              </w:rPr>
            </w:pPr>
            <w:r w:rsidRPr="009E4090">
              <w:rPr>
                <w:rFonts w:eastAsia="Times New Roman" w:cs="Tahoma"/>
                <w:b/>
                <w:color w:val="000000"/>
                <w:lang w:val="en-GB" w:eastAsia="en-GB"/>
              </w:rPr>
              <w:t>C:</w:t>
            </w:r>
            <w:r w:rsidRPr="00794C7B">
              <w:rPr>
                <w:rFonts w:eastAsia="Times New Roman" w:cs="Tahoma"/>
                <w:color w:val="000000"/>
                <w:lang w:val="en-GB" w:eastAsia="en-GB"/>
              </w:rPr>
              <w:t xml:space="preserve"> Prior opinion/approval cannot be given on the adequacy of the application documents. However, you are recommended to submit supporting documents (preferably taken from the university) explaining your situation.</w:t>
            </w:r>
          </w:p>
        </w:tc>
      </w:tr>
      <w:tr w:rsidR="00641F48" w:rsidRPr="00794C7B" w:rsidTr="0036006D">
        <w:trPr>
          <w:trHeight w:val="454"/>
        </w:trPr>
        <w:tc>
          <w:tcPr>
            <w:tcW w:w="10207" w:type="dxa"/>
            <w:gridSpan w:val="2"/>
            <w:tcBorders>
              <w:right w:val="single" w:sz="4" w:space="0" w:color="auto"/>
            </w:tcBorders>
            <w:shd w:val="clear" w:color="auto" w:fill="BFBFBF" w:themeFill="background1" w:themeFillShade="BF"/>
            <w:vAlign w:val="center"/>
          </w:tcPr>
          <w:p w:rsidR="00641F48" w:rsidRPr="00794C7B" w:rsidRDefault="00641F48" w:rsidP="00641F48">
            <w:pPr>
              <w:widowControl/>
              <w:tabs>
                <w:tab w:val="left" w:pos="3423"/>
              </w:tabs>
              <w:jc w:val="center"/>
              <w:rPr>
                <w:lang w:val="en-GB"/>
              </w:rPr>
            </w:pPr>
            <w:r>
              <w:rPr>
                <w:b/>
                <w:lang w:val="en-GB"/>
              </w:rPr>
              <w:t>EMPLOYMENT</w:t>
            </w:r>
            <w:r w:rsidRPr="00794C7B">
              <w:rPr>
                <w:b/>
                <w:lang w:val="en-GB"/>
              </w:rPr>
              <w:t xml:space="preserve"> DOCUMENTS</w:t>
            </w:r>
          </w:p>
        </w:tc>
      </w:tr>
      <w:tr w:rsidR="00641F48" w:rsidRPr="00794C7B" w:rsidTr="0081187E">
        <w:trPr>
          <w:trHeight w:val="454"/>
        </w:trPr>
        <w:tc>
          <w:tcPr>
            <w:tcW w:w="587" w:type="dxa"/>
            <w:tcBorders>
              <w:right w:val="single" w:sz="4" w:space="0" w:color="auto"/>
            </w:tcBorders>
            <w:vAlign w:val="center"/>
          </w:tcPr>
          <w:p w:rsidR="00641F48" w:rsidRPr="00794C7B" w:rsidRDefault="00641F48" w:rsidP="00012D02">
            <w:pPr>
              <w:widowControl/>
              <w:tabs>
                <w:tab w:val="left" w:pos="3423"/>
              </w:tabs>
              <w:spacing w:before="80" w:after="60"/>
              <w:jc w:val="center"/>
              <w:rPr>
                <w:b/>
                <w:lang w:val="en-GB"/>
              </w:rPr>
            </w:pPr>
            <w:r>
              <w:rPr>
                <w:b/>
                <w:lang w:val="en-GB"/>
              </w:rPr>
              <w:t>20</w:t>
            </w:r>
          </w:p>
        </w:tc>
        <w:tc>
          <w:tcPr>
            <w:tcW w:w="9620" w:type="dxa"/>
            <w:tcBorders>
              <w:top w:val="nil"/>
              <w:left w:val="single" w:sz="4" w:space="0" w:color="auto"/>
              <w:bottom w:val="single" w:sz="4" w:space="0" w:color="auto"/>
              <w:right w:val="single" w:sz="4" w:space="0" w:color="auto"/>
            </w:tcBorders>
            <w:shd w:val="clear" w:color="auto" w:fill="auto"/>
          </w:tcPr>
          <w:p w:rsidR="00641F48" w:rsidRDefault="00641F48" w:rsidP="00012D02">
            <w:pPr>
              <w:widowControl/>
              <w:tabs>
                <w:tab w:val="left" w:pos="3423"/>
              </w:tabs>
              <w:spacing w:before="80" w:after="60"/>
              <w:jc w:val="both"/>
              <w:rPr>
                <w:rFonts w:cs="Tahoma"/>
                <w:color w:val="000000"/>
                <w:lang w:val="en-GB"/>
              </w:rPr>
            </w:pPr>
            <w:r w:rsidRPr="009E4090">
              <w:rPr>
                <w:rFonts w:cs="Tahoma"/>
                <w:b/>
                <w:color w:val="000000"/>
                <w:lang w:val="en-GB"/>
              </w:rPr>
              <w:t>Q:</w:t>
            </w:r>
            <w:r w:rsidRPr="00794C7B">
              <w:rPr>
                <w:rFonts w:cs="Tahoma"/>
                <w:color w:val="000000"/>
                <w:lang w:val="en-GB"/>
              </w:rPr>
              <w:t xml:space="preserve"> Does the payroll, employment document</w:t>
            </w:r>
            <w:r>
              <w:rPr>
                <w:rFonts w:cs="Tahoma"/>
                <w:color w:val="000000"/>
                <w:lang w:val="en-GB"/>
              </w:rPr>
              <w:t xml:space="preserve"> or </w:t>
            </w:r>
            <w:r w:rsidRPr="00794C7B">
              <w:rPr>
                <w:rFonts w:cs="Tahoma"/>
                <w:color w:val="000000"/>
                <w:lang w:val="en-GB"/>
              </w:rPr>
              <w:t>consent letter from the employer institution of a private sector applicant have to be translated to English or are the Turkish documents accepted?</w:t>
            </w:r>
          </w:p>
          <w:p w:rsidR="00641F48" w:rsidRPr="00794C7B" w:rsidRDefault="00641F48" w:rsidP="00012D02">
            <w:pPr>
              <w:widowControl/>
              <w:tabs>
                <w:tab w:val="left" w:pos="3423"/>
              </w:tabs>
              <w:spacing w:before="80" w:after="60"/>
              <w:jc w:val="both"/>
              <w:rPr>
                <w:lang w:val="en-GB"/>
              </w:rPr>
            </w:pPr>
            <w:r w:rsidRPr="009E4090">
              <w:rPr>
                <w:rFonts w:cs="Tahoma"/>
                <w:b/>
                <w:color w:val="000000"/>
                <w:lang w:val="en-GB"/>
              </w:rPr>
              <w:t>C:</w:t>
            </w:r>
            <w:r w:rsidRPr="00794C7B">
              <w:rPr>
                <w:rFonts w:cs="Tahoma"/>
                <w:color w:val="000000"/>
                <w:lang w:val="en-GB"/>
              </w:rPr>
              <w:t xml:space="preserve"> Documents prepared by the employer in Turkish </w:t>
            </w:r>
            <w:r w:rsidRPr="00080BE7">
              <w:rPr>
                <w:rFonts w:cs="Tahoma"/>
                <w:b/>
                <w:color w:val="000000"/>
                <w:lang w:val="en-GB"/>
              </w:rPr>
              <w:t>or</w:t>
            </w:r>
            <w:r w:rsidRPr="00794C7B">
              <w:rPr>
                <w:rFonts w:cs="Tahoma"/>
                <w:color w:val="000000"/>
                <w:lang w:val="en-GB"/>
              </w:rPr>
              <w:t xml:space="preserve"> in English are accepted.</w:t>
            </w:r>
          </w:p>
        </w:tc>
      </w:tr>
      <w:tr w:rsidR="00641F48" w:rsidRPr="00794C7B" w:rsidTr="0081187E">
        <w:trPr>
          <w:trHeight w:val="454"/>
        </w:trPr>
        <w:tc>
          <w:tcPr>
            <w:tcW w:w="587" w:type="dxa"/>
            <w:tcBorders>
              <w:right w:val="single" w:sz="4" w:space="0" w:color="auto"/>
            </w:tcBorders>
            <w:vAlign w:val="center"/>
          </w:tcPr>
          <w:p w:rsidR="00641F48" w:rsidRPr="00794C7B" w:rsidRDefault="00641F48" w:rsidP="00012D02">
            <w:pPr>
              <w:widowControl/>
              <w:tabs>
                <w:tab w:val="left" w:pos="3423"/>
              </w:tabs>
              <w:spacing w:before="80" w:after="60"/>
              <w:jc w:val="center"/>
              <w:rPr>
                <w:b/>
                <w:lang w:val="en-GB"/>
              </w:rPr>
            </w:pPr>
            <w:r>
              <w:rPr>
                <w:b/>
                <w:lang w:val="en-GB"/>
              </w:rPr>
              <w:t>21</w:t>
            </w:r>
          </w:p>
        </w:tc>
        <w:tc>
          <w:tcPr>
            <w:tcW w:w="9620" w:type="dxa"/>
            <w:tcBorders>
              <w:top w:val="nil"/>
              <w:left w:val="single" w:sz="4" w:space="0" w:color="auto"/>
              <w:bottom w:val="single" w:sz="4" w:space="0" w:color="auto"/>
              <w:right w:val="single" w:sz="4" w:space="0" w:color="auto"/>
            </w:tcBorders>
            <w:shd w:val="clear" w:color="auto" w:fill="auto"/>
          </w:tcPr>
          <w:p w:rsidR="00641F48" w:rsidRDefault="00641F48" w:rsidP="00012D02">
            <w:pPr>
              <w:widowControl/>
              <w:tabs>
                <w:tab w:val="left" w:pos="3423"/>
              </w:tabs>
              <w:spacing w:before="80" w:after="60"/>
              <w:jc w:val="both"/>
              <w:rPr>
                <w:rFonts w:cs="Tahoma"/>
                <w:color w:val="000000"/>
                <w:lang w:val="en-GB"/>
              </w:rPr>
            </w:pPr>
            <w:r w:rsidRPr="009E4090">
              <w:rPr>
                <w:rFonts w:cs="Tahoma"/>
                <w:b/>
                <w:color w:val="000000"/>
                <w:lang w:val="en-GB"/>
              </w:rPr>
              <w:t>Q:</w:t>
            </w:r>
            <w:r>
              <w:rPr>
                <w:rFonts w:cs="Tahoma"/>
                <w:b/>
                <w:color w:val="000000"/>
                <w:lang w:val="en-GB"/>
              </w:rPr>
              <w:t xml:space="preserve"> </w:t>
            </w:r>
            <w:r w:rsidRPr="00794C7B">
              <w:rPr>
                <w:rFonts w:cs="Tahoma"/>
                <w:color w:val="000000"/>
                <w:lang w:val="en-GB"/>
              </w:rPr>
              <w:t xml:space="preserve">How many months payroll should be submitted </w:t>
            </w:r>
            <w:proofErr w:type="spellStart"/>
            <w:r w:rsidRPr="00794C7B">
              <w:rPr>
                <w:rFonts w:cs="Tahoma"/>
                <w:color w:val="000000"/>
                <w:lang w:val="en-GB"/>
              </w:rPr>
              <w:t>at</w:t>
            </w:r>
            <w:proofErr w:type="spellEnd"/>
            <w:r w:rsidRPr="00794C7B">
              <w:rPr>
                <w:rFonts w:cs="Tahoma"/>
                <w:color w:val="000000"/>
                <w:lang w:val="en-GB"/>
              </w:rPr>
              <w:t xml:space="preserve"> application?</w:t>
            </w:r>
          </w:p>
          <w:p w:rsidR="00641F48" w:rsidRPr="00794C7B" w:rsidRDefault="00641F48" w:rsidP="00012D02">
            <w:pPr>
              <w:widowControl/>
              <w:tabs>
                <w:tab w:val="left" w:pos="3423"/>
              </w:tabs>
              <w:spacing w:before="80" w:after="60"/>
              <w:jc w:val="both"/>
              <w:rPr>
                <w:lang w:val="en-GB"/>
              </w:rPr>
            </w:pPr>
            <w:r w:rsidRPr="009E4090">
              <w:rPr>
                <w:rFonts w:cs="Tahoma"/>
                <w:b/>
                <w:color w:val="000000"/>
                <w:lang w:val="en-GB"/>
              </w:rPr>
              <w:t>C:</w:t>
            </w:r>
            <w:r w:rsidRPr="00794C7B">
              <w:rPr>
                <w:rFonts w:cs="Tahoma"/>
                <w:color w:val="000000"/>
                <w:lang w:val="en-GB"/>
              </w:rPr>
              <w:t xml:space="preserve"> One</w:t>
            </w:r>
            <w:r>
              <w:rPr>
                <w:rFonts w:cs="Tahoma"/>
                <w:color w:val="000000"/>
                <w:lang w:val="en-GB"/>
              </w:rPr>
              <w:t>-</w:t>
            </w:r>
            <w:r w:rsidRPr="00794C7B">
              <w:rPr>
                <w:rFonts w:cs="Tahoma"/>
                <w:color w:val="000000"/>
                <w:lang w:val="en-GB"/>
              </w:rPr>
              <w:t>month pa</w:t>
            </w:r>
            <w:r>
              <w:rPr>
                <w:rFonts w:cs="Tahoma"/>
                <w:color w:val="000000"/>
                <w:lang w:val="en-GB"/>
              </w:rPr>
              <w:t>yroll which meets the criteria</w:t>
            </w:r>
            <w:r w:rsidRPr="00794C7B">
              <w:rPr>
                <w:rFonts w:cs="Tahoma"/>
                <w:color w:val="000000"/>
                <w:lang w:val="en-GB"/>
              </w:rPr>
              <w:t xml:space="preserve"> indicated in the Announcement is sufficient</w:t>
            </w:r>
            <w:r>
              <w:rPr>
                <w:rFonts w:cs="Tahoma"/>
                <w:color w:val="000000"/>
                <w:lang w:val="en-GB"/>
              </w:rPr>
              <w:t xml:space="preserve"> for application</w:t>
            </w:r>
            <w:r w:rsidRPr="00794C7B">
              <w:rPr>
                <w:rFonts w:cs="Tahoma"/>
                <w:color w:val="000000"/>
                <w:lang w:val="en-GB"/>
              </w:rPr>
              <w:t>.</w:t>
            </w:r>
          </w:p>
        </w:tc>
      </w:tr>
      <w:tr w:rsidR="00641F48" w:rsidRPr="00794C7B" w:rsidTr="0036006D">
        <w:trPr>
          <w:trHeight w:val="454"/>
        </w:trPr>
        <w:tc>
          <w:tcPr>
            <w:tcW w:w="10207" w:type="dxa"/>
            <w:gridSpan w:val="2"/>
            <w:shd w:val="clear" w:color="auto" w:fill="BFBFBF"/>
            <w:vAlign w:val="center"/>
          </w:tcPr>
          <w:p w:rsidR="00641F48" w:rsidRPr="00794C7B" w:rsidRDefault="00641F48" w:rsidP="00641F48">
            <w:pPr>
              <w:widowControl/>
              <w:tabs>
                <w:tab w:val="left" w:pos="3423"/>
              </w:tabs>
              <w:jc w:val="center"/>
              <w:rPr>
                <w:b/>
                <w:lang w:val="en-GB"/>
              </w:rPr>
            </w:pPr>
            <w:r w:rsidRPr="00794C7B">
              <w:rPr>
                <w:b/>
                <w:lang w:val="en-GB"/>
              </w:rPr>
              <w:lastRenderedPageBreak/>
              <w:t>INTERNS</w:t>
            </w:r>
          </w:p>
        </w:tc>
      </w:tr>
      <w:tr w:rsidR="00641F48" w:rsidRPr="00794C7B" w:rsidTr="00DB29E8">
        <w:trPr>
          <w:trHeight w:val="454"/>
        </w:trPr>
        <w:tc>
          <w:tcPr>
            <w:tcW w:w="587" w:type="dxa"/>
            <w:tcBorders>
              <w:right w:val="single" w:sz="4" w:space="0" w:color="auto"/>
            </w:tcBorders>
            <w:vAlign w:val="center"/>
          </w:tcPr>
          <w:p w:rsidR="00641F48" w:rsidRPr="00794C7B" w:rsidRDefault="00641F48" w:rsidP="00641F48">
            <w:pPr>
              <w:widowControl/>
              <w:tabs>
                <w:tab w:val="left" w:pos="3423"/>
              </w:tabs>
              <w:jc w:val="center"/>
              <w:rPr>
                <w:b/>
                <w:lang w:val="en-GB"/>
              </w:rPr>
            </w:pPr>
            <w:r w:rsidRPr="00794C7B">
              <w:rPr>
                <w:b/>
                <w:lang w:val="en-GB"/>
              </w:rPr>
              <w:t>22</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Based on the amendment of the </w:t>
            </w:r>
            <w:proofErr w:type="spellStart"/>
            <w:r w:rsidRPr="00794C7B">
              <w:rPr>
                <w:rFonts w:cs="Tahoma"/>
                <w:color w:val="000000"/>
                <w:lang w:val="en-GB"/>
              </w:rPr>
              <w:t>Attorneyship</w:t>
            </w:r>
            <w:proofErr w:type="spellEnd"/>
            <w:r w:rsidRPr="00794C7B">
              <w:rPr>
                <w:rFonts w:cs="Tahoma"/>
                <w:color w:val="000000"/>
                <w:lang w:val="en-GB"/>
              </w:rPr>
              <w:t xml:space="preserve"> Law, being employed under a social security system will not form a barrier to pursue legal internship as long as it does not present a factual obstacle to the internship. May I apply for a scholarship if I work in the public or private sector under social security during my internship period?</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Yes. </w:t>
            </w:r>
          </w:p>
        </w:tc>
      </w:tr>
      <w:tr w:rsidR="00641F48" w:rsidRPr="00794C7B" w:rsidTr="0036006D">
        <w:trPr>
          <w:trHeight w:val="454"/>
        </w:trPr>
        <w:tc>
          <w:tcPr>
            <w:tcW w:w="10207" w:type="dxa"/>
            <w:gridSpan w:val="2"/>
            <w:tcBorders>
              <w:top w:val="single" w:sz="4" w:space="0" w:color="auto"/>
              <w:right w:val="single" w:sz="4" w:space="0" w:color="auto"/>
            </w:tcBorders>
            <w:shd w:val="clear" w:color="auto" w:fill="BFBFBF"/>
            <w:vAlign w:val="center"/>
          </w:tcPr>
          <w:p w:rsidR="00641F48" w:rsidRPr="00794C7B" w:rsidRDefault="00641F48" w:rsidP="00641F48">
            <w:pPr>
              <w:widowControl/>
              <w:tabs>
                <w:tab w:val="left" w:pos="3423"/>
              </w:tabs>
              <w:jc w:val="center"/>
              <w:rPr>
                <w:b/>
                <w:lang w:val="en-GB"/>
              </w:rPr>
            </w:pPr>
            <w:bookmarkStart w:id="3" w:name="_Hlk22034515"/>
            <w:r w:rsidRPr="00794C7B">
              <w:rPr>
                <w:b/>
                <w:lang w:val="en-GB"/>
              </w:rPr>
              <w:t>HOST INSTITUTIONS AND OFFER LETTERS</w:t>
            </w:r>
          </w:p>
        </w:tc>
      </w:tr>
      <w:bookmarkEnd w:id="3"/>
      <w:tr w:rsidR="00641F48" w:rsidRPr="00794C7B" w:rsidTr="0036006D">
        <w:trPr>
          <w:trHeight w:val="454"/>
        </w:trPr>
        <w:tc>
          <w:tcPr>
            <w:tcW w:w="587" w:type="dxa"/>
            <w:tcBorders>
              <w:top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sidRPr="00794C7B">
              <w:rPr>
                <w:b/>
                <w:lang w:val="en-GB"/>
              </w:rPr>
              <w:t>23</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Can we pursue study at the campus of a British university located in an EU member country?</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Yes. According to the Scholarship Programme rules</w:t>
            </w:r>
            <w:r>
              <w:rPr>
                <w:rFonts w:cs="Tahoma"/>
                <w:color w:val="000000"/>
                <w:lang w:val="en-GB"/>
              </w:rPr>
              <w:t>,</w:t>
            </w:r>
            <w:r w:rsidRPr="00794C7B">
              <w:rPr>
                <w:rFonts w:cs="Tahoma"/>
                <w:color w:val="000000"/>
                <w:lang w:val="en-GB"/>
              </w:rPr>
              <w:t xml:space="preserve"> scholars </w:t>
            </w:r>
            <w:r>
              <w:rPr>
                <w:rFonts w:cs="Tahoma"/>
                <w:color w:val="000000"/>
                <w:lang w:val="en-GB"/>
              </w:rPr>
              <w:t>may</w:t>
            </w:r>
            <w:r w:rsidRPr="00794C7B">
              <w:rPr>
                <w:rFonts w:cs="Tahoma"/>
                <w:color w:val="000000"/>
                <w:lang w:val="en-GB"/>
              </w:rPr>
              <w:t xml:space="preserve"> pursue study in </w:t>
            </w:r>
            <w:r>
              <w:rPr>
                <w:rFonts w:cs="Tahoma"/>
                <w:color w:val="000000"/>
                <w:lang w:val="en-GB"/>
              </w:rPr>
              <w:t xml:space="preserve">the </w:t>
            </w:r>
            <w:r w:rsidRPr="00794C7B">
              <w:rPr>
                <w:rFonts w:cs="Tahoma"/>
                <w:color w:val="000000"/>
                <w:lang w:val="en-GB"/>
              </w:rPr>
              <w:t>EU member countries regardless of the origin of the university.</w:t>
            </w:r>
          </w:p>
        </w:tc>
      </w:tr>
      <w:tr w:rsidR="00641F48" w:rsidRPr="00794C7B" w:rsidTr="00453484">
        <w:trPr>
          <w:trHeight w:val="454"/>
        </w:trPr>
        <w:tc>
          <w:tcPr>
            <w:tcW w:w="587" w:type="dxa"/>
            <w:tcBorders>
              <w:top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sidRPr="00794C7B">
              <w:rPr>
                <w:b/>
                <w:lang w:val="en-GB"/>
              </w:rPr>
              <w:t>24</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Can we apply for a one-year programme jointly run in multiple EU member countries?</w:t>
            </w:r>
          </w:p>
          <w:p w:rsidR="00641F48" w:rsidRPr="00794C7B" w:rsidRDefault="00641F48" w:rsidP="00641F48">
            <w:pPr>
              <w:widowControl/>
              <w:tabs>
                <w:tab w:val="left" w:pos="3423"/>
              </w:tabs>
              <w:jc w:val="both"/>
              <w:rPr>
                <w:lang w:val="en-GB"/>
              </w:rPr>
            </w:pPr>
            <w:r w:rsidRPr="009E4090">
              <w:rPr>
                <w:rFonts w:cs="Tahoma"/>
                <w:b/>
                <w:color w:val="000000"/>
                <w:lang w:val="en-GB"/>
              </w:rPr>
              <w:t xml:space="preserve">C: </w:t>
            </w:r>
            <w:r w:rsidRPr="00794C7B">
              <w:rPr>
                <w:rFonts w:cs="Tahoma"/>
                <w:color w:val="000000"/>
                <w:lang w:val="en-GB"/>
              </w:rPr>
              <w:t>Yes. Study programmes to be pursued in multiple EU member countries may be evaluated on condition that the offer letter sub</w:t>
            </w:r>
            <w:r>
              <w:rPr>
                <w:rFonts w:cs="Tahoma"/>
                <w:color w:val="000000"/>
                <w:lang w:val="en-GB"/>
              </w:rPr>
              <w:t>mitted at the placement</w:t>
            </w:r>
            <w:r w:rsidRPr="00794C7B">
              <w:rPr>
                <w:rFonts w:cs="Tahoma"/>
                <w:color w:val="000000"/>
                <w:lang w:val="en-GB"/>
              </w:rPr>
              <w:t xml:space="preserve"> stage clearly indicates the timescale within each of the host countries. </w:t>
            </w:r>
          </w:p>
        </w:tc>
      </w:tr>
      <w:tr w:rsidR="00641F48" w:rsidRPr="00794C7B" w:rsidTr="00453484">
        <w:trPr>
          <w:trHeight w:val="454"/>
        </w:trPr>
        <w:tc>
          <w:tcPr>
            <w:tcW w:w="587" w:type="dxa"/>
            <w:tcBorders>
              <w:top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sidRPr="00794C7B">
              <w:rPr>
                <w:b/>
                <w:lang w:val="en-GB"/>
              </w:rPr>
              <w:t>25</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What is the format of the </w:t>
            </w:r>
            <w:r w:rsidR="00DA52B5">
              <w:rPr>
                <w:rFonts w:cs="Tahoma"/>
                <w:color w:val="000000"/>
                <w:lang w:val="en-GB"/>
              </w:rPr>
              <w:t>offer</w:t>
            </w:r>
            <w:r w:rsidR="00DA52B5" w:rsidRPr="00794C7B">
              <w:rPr>
                <w:rFonts w:cs="Tahoma"/>
                <w:color w:val="000000"/>
                <w:lang w:val="en-GB"/>
              </w:rPr>
              <w:t xml:space="preserve"> </w:t>
            </w:r>
            <w:r w:rsidRPr="00794C7B">
              <w:rPr>
                <w:rFonts w:cs="Tahoma"/>
                <w:color w:val="000000"/>
                <w:lang w:val="en-GB"/>
              </w:rPr>
              <w:t>letter for research programmes? Is it an invitation letter from the academic advisor? Should we find the professor, determin</w:t>
            </w:r>
            <w:r>
              <w:rPr>
                <w:rFonts w:cs="Tahoma"/>
                <w:color w:val="000000"/>
                <w:lang w:val="en-GB"/>
              </w:rPr>
              <w:t>e</w:t>
            </w:r>
            <w:r w:rsidRPr="00794C7B">
              <w:rPr>
                <w:rFonts w:cs="Tahoma"/>
                <w:color w:val="000000"/>
                <w:lang w:val="en-GB"/>
              </w:rPr>
              <w:t xml:space="preserve"> the project topic and then submit for approval?</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The </w:t>
            </w:r>
            <w:r w:rsidR="00DA52B5">
              <w:rPr>
                <w:rFonts w:cs="Tahoma"/>
                <w:color w:val="000000"/>
                <w:lang w:val="en-GB"/>
              </w:rPr>
              <w:t>offer</w:t>
            </w:r>
            <w:r w:rsidR="00DA52B5" w:rsidRPr="00794C7B">
              <w:rPr>
                <w:rFonts w:cs="Tahoma"/>
                <w:color w:val="000000"/>
                <w:lang w:val="en-GB"/>
              </w:rPr>
              <w:t xml:space="preserve"> </w:t>
            </w:r>
            <w:r w:rsidRPr="00794C7B">
              <w:rPr>
                <w:rFonts w:cs="Tahoma"/>
                <w:color w:val="000000"/>
                <w:lang w:val="en-GB"/>
              </w:rPr>
              <w:t>letter should specifically contain the name of the award holder, start and end dates of the research programme, topic of the research, as well as the name of the academic advisor with whom the research will be conducted. It may be issued either by the university or academic advisor. It is the scholars' responsibility to contact the universities.</w:t>
            </w:r>
          </w:p>
        </w:tc>
      </w:tr>
      <w:tr w:rsidR="00641F48" w:rsidRPr="00794C7B" w:rsidTr="00453484">
        <w:trPr>
          <w:trHeight w:val="454"/>
        </w:trPr>
        <w:tc>
          <w:tcPr>
            <w:tcW w:w="587" w:type="dxa"/>
            <w:tcBorders>
              <w:top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sidRPr="00794C7B">
              <w:rPr>
                <w:b/>
                <w:lang w:val="en-GB"/>
              </w:rPr>
              <w:t>26</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Can we pursue a programme without dissertation if we are awarded a Jean Monnet scholarship?</w:t>
            </w:r>
          </w:p>
          <w:p w:rsidR="00641F48" w:rsidRPr="00794C7B" w:rsidRDefault="00641F48" w:rsidP="00641F48">
            <w:pPr>
              <w:widowControl/>
              <w:tabs>
                <w:tab w:val="left" w:pos="3423"/>
              </w:tabs>
              <w:jc w:val="both"/>
              <w:rPr>
                <w:lang w:val="en-GB"/>
              </w:rPr>
            </w:pPr>
            <w:r w:rsidRPr="009E4090">
              <w:rPr>
                <w:rFonts w:cs="Tahoma"/>
                <w:b/>
                <w:color w:val="000000"/>
                <w:lang w:val="en-GB"/>
              </w:rPr>
              <w:t>C:</w:t>
            </w:r>
            <w:r>
              <w:rPr>
                <w:rFonts w:cs="Tahoma"/>
                <w:b/>
                <w:color w:val="000000"/>
                <w:lang w:val="en-GB"/>
              </w:rPr>
              <w:t xml:space="preserve"> </w:t>
            </w:r>
            <w:r w:rsidRPr="009A141E">
              <w:rPr>
                <w:rFonts w:cs="Tahoma"/>
                <w:color w:val="000000"/>
                <w:lang w:val="en-GB"/>
              </w:rPr>
              <w:t>Yes.</w:t>
            </w:r>
            <w:r w:rsidRPr="00794C7B">
              <w:rPr>
                <w:rFonts w:cs="Tahoma"/>
                <w:color w:val="000000"/>
                <w:lang w:val="en-GB"/>
              </w:rPr>
              <w:t xml:space="preserve"> Programmes with dissertation is not obligatory within the Jean Monnet Scholarship Programme. </w:t>
            </w:r>
          </w:p>
        </w:tc>
      </w:tr>
      <w:tr w:rsidR="00641F48" w:rsidRPr="00794C7B" w:rsidTr="009A141E">
        <w:trPr>
          <w:trHeight w:val="454"/>
        </w:trPr>
        <w:tc>
          <w:tcPr>
            <w:tcW w:w="587" w:type="dxa"/>
            <w:tcBorders>
              <w:top w:val="single" w:sz="4" w:space="0" w:color="auto"/>
              <w:right w:val="single" w:sz="4" w:space="0" w:color="auto"/>
            </w:tcBorders>
            <w:shd w:val="clear" w:color="auto" w:fill="auto"/>
            <w:vAlign w:val="center"/>
          </w:tcPr>
          <w:p w:rsidR="00641F48" w:rsidRPr="00794C7B" w:rsidRDefault="00DA52B5" w:rsidP="00641F48">
            <w:pPr>
              <w:widowControl/>
              <w:tabs>
                <w:tab w:val="left" w:pos="3423"/>
              </w:tabs>
              <w:jc w:val="center"/>
              <w:rPr>
                <w:b/>
                <w:lang w:val="en-GB"/>
              </w:rPr>
            </w:pPr>
            <w:r w:rsidRPr="00794C7B">
              <w:rPr>
                <w:b/>
                <w:lang w:val="en-GB"/>
              </w:rPr>
              <w:t>2</w:t>
            </w:r>
            <w:r>
              <w:rPr>
                <w:b/>
                <w:lang w:val="en-GB"/>
              </w:rPr>
              <w:t>7</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Should I mention that I am applying for a Jean Monnet scholarship when applying to schools?</w:t>
            </w:r>
          </w:p>
          <w:p w:rsidR="00641F48" w:rsidRPr="00794C7B" w:rsidRDefault="00641F48" w:rsidP="00641F48">
            <w:pPr>
              <w:widowControl/>
              <w:tabs>
                <w:tab w:val="left" w:pos="3423"/>
              </w:tabs>
              <w:jc w:val="both"/>
              <w:rPr>
                <w:lang w:val="en-GB"/>
              </w:rPr>
            </w:pPr>
            <w:r w:rsidRPr="009E4090">
              <w:rPr>
                <w:rFonts w:cs="Tahoma"/>
                <w:b/>
                <w:color w:val="000000"/>
                <w:lang w:val="en-GB"/>
              </w:rPr>
              <w:t>C:</w:t>
            </w:r>
            <w:r>
              <w:rPr>
                <w:rFonts w:cs="Tahoma"/>
                <w:color w:val="000000"/>
                <w:lang w:val="en-GB"/>
              </w:rPr>
              <w:t xml:space="preserve"> It is </w:t>
            </w:r>
            <w:r w:rsidR="00DD3660">
              <w:rPr>
                <w:rFonts w:cs="Tahoma"/>
                <w:color w:val="000000"/>
                <w:lang w:val="en-GB"/>
              </w:rPr>
              <w:t xml:space="preserve">the </w:t>
            </w:r>
            <w:r>
              <w:rPr>
                <w:rFonts w:cs="Tahoma"/>
                <w:color w:val="000000"/>
                <w:lang w:val="en-GB"/>
              </w:rPr>
              <w:t xml:space="preserve">applicant’s choice whether to mention s/he has also applied for </w:t>
            </w:r>
            <w:r w:rsidR="00DD3660">
              <w:rPr>
                <w:rFonts w:cs="Tahoma"/>
                <w:color w:val="000000"/>
                <w:lang w:val="en-GB"/>
              </w:rPr>
              <w:t>a</w:t>
            </w:r>
            <w:r>
              <w:rPr>
                <w:rFonts w:cs="Tahoma"/>
                <w:color w:val="000000"/>
                <w:lang w:val="en-GB"/>
              </w:rPr>
              <w:t xml:space="preserve"> Jean Monnet </w:t>
            </w:r>
            <w:r w:rsidR="00DD3660">
              <w:rPr>
                <w:rFonts w:cs="Tahoma"/>
                <w:color w:val="000000"/>
                <w:lang w:val="en-GB"/>
              </w:rPr>
              <w:t>s</w:t>
            </w:r>
            <w:r>
              <w:rPr>
                <w:rFonts w:cs="Tahoma"/>
                <w:color w:val="000000"/>
                <w:lang w:val="en-GB"/>
              </w:rPr>
              <w:t xml:space="preserve">cholarship or not. </w:t>
            </w:r>
          </w:p>
        </w:tc>
      </w:tr>
      <w:tr w:rsidR="00641F48" w:rsidRPr="00794C7B" w:rsidTr="0036006D">
        <w:trPr>
          <w:trHeight w:val="454"/>
        </w:trPr>
        <w:tc>
          <w:tcPr>
            <w:tcW w:w="10207" w:type="dxa"/>
            <w:gridSpan w:val="2"/>
            <w:tcBorders>
              <w:top w:val="single" w:sz="4" w:space="0" w:color="auto"/>
              <w:right w:val="single" w:sz="4" w:space="0" w:color="auto"/>
            </w:tcBorders>
            <w:shd w:val="clear" w:color="auto" w:fill="BFBFBF" w:themeFill="background1" w:themeFillShade="BF"/>
            <w:vAlign w:val="center"/>
          </w:tcPr>
          <w:p w:rsidR="00641F48" w:rsidRPr="00794C7B" w:rsidRDefault="00641F48" w:rsidP="00641F48">
            <w:pPr>
              <w:widowControl/>
              <w:tabs>
                <w:tab w:val="left" w:pos="3423"/>
              </w:tabs>
              <w:jc w:val="center"/>
              <w:rPr>
                <w:lang w:val="en-GB"/>
              </w:rPr>
            </w:pPr>
            <w:r w:rsidRPr="00794C7B">
              <w:rPr>
                <w:b/>
                <w:lang w:val="en-GB"/>
              </w:rPr>
              <w:t>TUITION FEES</w:t>
            </w:r>
          </w:p>
        </w:tc>
      </w:tr>
      <w:tr w:rsidR="00DA52B5" w:rsidRPr="00794C7B" w:rsidTr="0036006D">
        <w:trPr>
          <w:trHeight w:val="454"/>
        </w:trPr>
        <w:tc>
          <w:tcPr>
            <w:tcW w:w="587" w:type="dxa"/>
            <w:tcBorders>
              <w:top w:val="single" w:sz="4" w:space="0" w:color="auto"/>
              <w:right w:val="single" w:sz="4" w:space="0" w:color="auto"/>
            </w:tcBorders>
            <w:vAlign w:val="center"/>
          </w:tcPr>
          <w:p w:rsidR="00DA52B5" w:rsidRDefault="00DA52B5" w:rsidP="00DA52B5">
            <w:pPr>
              <w:widowControl/>
              <w:tabs>
                <w:tab w:val="left" w:pos="3423"/>
              </w:tabs>
              <w:jc w:val="center"/>
              <w:rPr>
                <w:b/>
                <w:lang w:val="en-GB"/>
              </w:rPr>
            </w:pPr>
            <w:r w:rsidRPr="00794C7B">
              <w:rPr>
                <w:b/>
                <w:lang w:val="en-GB"/>
              </w:rPr>
              <w:t>2</w:t>
            </w:r>
            <w:r>
              <w:rPr>
                <w:b/>
                <w:lang w:val="en-GB"/>
              </w:rPr>
              <w:t>8</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rsidR="00DA52B5" w:rsidRDefault="00DA52B5" w:rsidP="00DA52B5">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Is the tuition fee still fully covered within the joint project between the Jean Monnet Scholarship Programme and Queen Mary University Paris Campus?</w:t>
            </w:r>
          </w:p>
          <w:p w:rsidR="00DA52B5" w:rsidRPr="009E4090" w:rsidRDefault="00DA52B5" w:rsidP="00DA52B5">
            <w:pPr>
              <w:widowControl/>
              <w:autoSpaceDE/>
              <w:autoSpaceDN/>
              <w:jc w:val="both"/>
              <w:rPr>
                <w:rFonts w:cs="Tahoma"/>
                <w:b/>
                <w:color w:val="000000"/>
                <w:lang w:val="en-GB"/>
              </w:rPr>
            </w:pPr>
            <w:r w:rsidRPr="009E4090">
              <w:rPr>
                <w:rFonts w:cs="Tahoma"/>
                <w:b/>
                <w:color w:val="000000"/>
                <w:lang w:val="en-GB"/>
              </w:rPr>
              <w:t>C:</w:t>
            </w:r>
            <w:r w:rsidRPr="00794C7B">
              <w:rPr>
                <w:rFonts w:cs="Tahoma"/>
                <w:color w:val="000000"/>
                <w:lang w:val="en-GB"/>
              </w:rPr>
              <w:t xml:space="preserve"> There are no joint projects where tuition fees are fully covered. However</w:t>
            </w:r>
            <w:r>
              <w:rPr>
                <w:rFonts w:cs="Tahoma"/>
                <w:color w:val="000000"/>
                <w:lang w:val="en-GB"/>
              </w:rPr>
              <w:t>,</w:t>
            </w:r>
            <w:r w:rsidRPr="00794C7B">
              <w:rPr>
                <w:rFonts w:cs="Tahoma"/>
                <w:color w:val="000000"/>
                <w:lang w:val="en-GB"/>
              </w:rPr>
              <w:t xml:space="preserve"> some universities offer discounts at different rates to Jean Monnet scholars.</w:t>
            </w:r>
            <w:r>
              <w:rPr>
                <w:rFonts w:cs="Tahoma"/>
                <w:color w:val="000000"/>
                <w:lang w:val="en-GB"/>
              </w:rPr>
              <w:t xml:space="preserve"> It is recommended to contact the host institutions regarding discounts. </w:t>
            </w:r>
          </w:p>
        </w:tc>
      </w:tr>
      <w:tr w:rsidR="00641F48" w:rsidRPr="00794C7B" w:rsidTr="0036006D">
        <w:trPr>
          <w:trHeight w:val="454"/>
        </w:trPr>
        <w:tc>
          <w:tcPr>
            <w:tcW w:w="587" w:type="dxa"/>
            <w:tcBorders>
              <w:top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29</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rsidR="00641F48" w:rsidRDefault="00641F48" w:rsidP="00641F48">
            <w:pPr>
              <w:widowControl/>
              <w:autoSpaceDE/>
              <w:autoSpaceDN/>
              <w:jc w:val="both"/>
              <w:rPr>
                <w:rFonts w:cs="Tahoma"/>
                <w:color w:val="000000"/>
                <w:lang w:val="en-GB"/>
              </w:rPr>
            </w:pPr>
            <w:r w:rsidRPr="009E4090">
              <w:rPr>
                <w:rFonts w:cs="Tahoma"/>
                <w:b/>
                <w:color w:val="000000"/>
                <w:lang w:val="en-GB"/>
              </w:rPr>
              <w:t>Q:</w:t>
            </w:r>
            <w:r w:rsidRPr="00794C7B">
              <w:rPr>
                <w:rFonts w:cs="Tahoma"/>
                <w:color w:val="000000"/>
                <w:lang w:val="en-GB"/>
              </w:rPr>
              <w:t xml:space="preserve"> Universities may request deposit payments when issuing offer letters. Are we responsible for making these payments?</w:t>
            </w:r>
          </w:p>
          <w:p w:rsidR="00641F48" w:rsidRPr="00794C7B" w:rsidRDefault="00641F48" w:rsidP="00641F48">
            <w:pPr>
              <w:widowControl/>
              <w:autoSpaceDE/>
              <w:autoSpaceDN/>
              <w:jc w:val="both"/>
              <w:rPr>
                <w:rFonts w:eastAsia="Times New Roman" w:cs="Tahoma"/>
                <w:color w:val="000000"/>
                <w:lang w:val="en-GB" w:eastAsia="en-GB" w:bidi="ar-SA"/>
              </w:rPr>
            </w:pPr>
            <w:r w:rsidRPr="009E4090">
              <w:rPr>
                <w:rFonts w:cs="Tahoma"/>
                <w:b/>
                <w:color w:val="000000"/>
                <w:lang w:val="en-GB"/>
              </w:rPr>
              <w:t>C:</w:t>
            </w:r>
            <w:r w:rsidRPr="00794C7B">
              <w:rPr>
                <w:rFonts w:cs="Tahoma"/>
                <w:color w:val="000000"/>
                <w:lang w:val="en-GB"/>
              </w:rPr>
              <w:t xml:space="preserve"> Yes. It is solely the applicants’ responsibility to identify the suitable academic programmes in line with their field of study and to obtain offer letter(s) from the academic programmes. On the other hand, the risk of the study programme for which a deposit has been paid not being approved should be noted, as the Directorate for EU Affairs retains the right to give the final decision on the programme approvals to ensure the compliance of the programmes with the fields of study (EU acquis chapters) and the optimal exploitation of the scholarships.</w:t>
            </w:r>
          </w:p>
        </w:tc>
      </w:tr>
      <w:tr w:rsidR="00641F48" w:rsidRPr="00794C7B" w:rsidTr="0036006D">
        <w:trPr>
          <w:trHeight w:val="454"/>
        </w:trPr>
        <w:tc>
          <w:tcPr>
            <w:tcW w:w="10207" w:type="dxa"/>
            <w:gridSpan w:val="2"/>
            <w:tcBorders>
              <w:right w:val="single" w:sz="4" w:space="0" w:color="auto"/>
            </w:tcBorders>
            <w:shd w:val="clear" w:color="auto" w:fill="BFBFBF"/>
            <w:vAlign w:val="center"/>
          </w:tcPr>
          <w:p w:rsidR="00641F48" w:rsidRPr="00794C7B" w:rsidRDefault="00641F48" w:rsidP="00641F48">
            <w:pPr>
              <w:widowControl/>
              <w:tabs>
                <w:tab w:val="left" w:pos="3423"/>
              </w:tabs>
              <w:jc w:val="center"/>
              <w:rPr>
                <w:b/>
                <w:lang w:val="en-GB"/>
              </w:rPr>
            </w:pPr>
            <w:r w:rsidRPr="00794C7B">
              <w:rPr>
                <w:b/>
                <w:lang w:val="en-GB"/>
              </w:rPr>
              <w:t>BREXIT</w:t>
            </w:r>
          </w:p>
        </w:tc>
      </w:tr>
      <w:tr w:rsidR="00641F48" w:rsidRPr="00794C7B" w:rsidTr="0036006D">
        <w:trPr>
          <w:trHeight w:val="454"/>
        </w:trPr>
        <w:tc>
          <w:tcPr>
            <w:tcW w:w="587" w:type="dxa"/>
            <w:tcBorders>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30</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Is the UK an eligible host country for the 2024-2025 academic year?</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No. </w:t>
            </w:r>
          </w:p>
        </w:tc>
      </w:tr>
      <w:tr w:rsidR="00641F48" w:rsidRPr="00794C7B" w:rsidTr="005C2479">
        <w:trPr>
          <w:trHeight w:val="454"/>
        </w:trPr>
        <w:tc>
          <w:tcPr>
            <w:tcW w:w="587" w:type="dxa"/>
            <w:tcBorders>
              <w:right w:val="single" w:sz="4" w:space="0" w:color="auto"/>
            </w:tcBorders>
            <w:vAlign w:val="center"/>
          </w:tcPr>
          <w:p w:rsidR="00641F48" w:rsidRPr="00DD3660" w:rsidRDefault="00641F48" w:rsidP="00641F48">
            <w:pPr>
              <w:widowControl/>
              <w:tabs>
                <w:tab w:val="left" w:pos="3423"/>
              </w:tabs>
              <w:jc w:val="center"/>
              <w:rPr>
                <w:b/>
                <w:lang w:val="en-GB"/>
              </w:rPr>
            </w:pPr>
            <w:r w:rsidRPr="00DD3660">
              <w:rPr>
                <w:b/>
                <w:lang w:val="en-GB"/>
              </w:rPr>
              <w:t>31</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Pr="00DD3660" w:rsidRDefault="00641F48" w:rsidP="00641F48">
            <w:pPr>
              <w:widowControl/>
              <w:tabs>
                <w:tab w:val="left" w:pos="3423"/>
              </w:tabs>
              <w:jc w:val="both"/>
              <w:rPr>
                <w:rFonts w:cs="Tahoma"/>
                <w:color w:val="000000"/>
                <w:lang w:val="en-GB"/>
              </w:rPr>
            </w:pPr>
            <w:r w:rsidRPr="00DD3660">
              <w:rPr>
                <w:rFonts w:cs="Tahoma"/>
                <w:b/>
                <w:color w:val="000000"/>
                <w:lang w:val="en-GB"/>
              </w:rPr>
              <w:t>Q:</w:t>
            </w:r>
            <w:r w:rsidRPr="00DD3660">
              <w:rPr>
                <w:rFonts w:cs="Tahoma"/>
                <w:color w:val="000000"/>
                <w:lang w:val="en-GB"/>
              </w:rPr>
              <w:t xml:space="preserve"> I completed a graduate degree funded by the United Kingdom (e.g. Chevening, GREAT, etc), can I apply for a Jean Monnet scholarship?</w:t>
            </w:r>
          </w:p>
          <w:p w:rsidR="00641F48" w:rsidRPr="00DD3660" w:rsidRDefault="00641F48" w:rsidP="00641F48">
            <w:pPr>
              <w:widowControl/>
              <w:tabs>
                <w:tab w:val="left" w:pos="3423"/>
              </w:tabs>
              <w:jc w:val="both"/>
              <w:rPr>
                <w:lang w:val="en-GB"/>
              </w:rPr>
            </w:pPr>
            <w:r w:rsidRPr="00DD3660">
              <w:rPr>
                <w:rFonts w:cs="Tahoma"/>
                <w:b/>
                <w:color w:val="000000"/>
                <w:lang w:val="en-GB"/>
              </w:rPr>
              <w:t>C:</w:t>
            </w:r>
            <w:r w:rsidRPr="00DD3660">
              <w:rPr>
                <w:rFonts w:cs="Tahoma"/>
                <w:color w:val="000000"/>
                <w:lang w:val="en-GB"/>
              </w:rPr>
              <w:t xml:space="preserve"> Yes.</w:t>
            </w:r>
          </w:p>
        </w:tc>
      </w:tr>
      <w:tr w:rsidR="00641F48" w:rsidRPr="00794C7B" w:rsidTr="0036006D">
        <w:trPr>
          <w:trHeight w:val="454"/>
        </w:trPr>
        <w:tc>
          <w:tcPr>
            <w:tcW w:w="10207" w:type="dxa"/>
            <w:gridSpan w:val="2"/>
            <w:tcBorders>
              <w:right w:val="single" w:sz="4" w:space="0" w:color="auto"/>
            </w:tcBorders>
            <w:shd w:val="clear" w:color="auto" w:fill="BFBFBF"/>
            <w:vAlign w:val="center"/>
          </w:tcPr>
          <w:p w:rsidR="00641F48" w:rsidRPr="00794C7B" w:rsidRDefault="00641F48" w:rsidP="00641F48">
            <w:pPr>
              <w:widowControl/>
              <w:tabs>
                <w:tab w:val="left" w:pos="3423"/>
              </w:tabs>
              <w:jc w:val="center"/>
              <w:rPr>
                <w:b/>
                <w:lang w:val="en-GB"/>
              </w:rPr>
            </w:pPr>
            <w:r w:rsidRPr="00794C7B">
              <w:rPr>
                <w:b/>
                <w:lang w:val="en-GB"/>
              </w:rPr>
              <w:t>OTHER</w:t>
            </w:r>
          </w:p>
        </w:tc>
      </w:tr>
      <w:tr w:rsidR="00641F48" w:rsidRPr="00794C7B" w:rsidTr="0036006D">
        <w:trPr>
          <w:trHeight w:val="454"/>
        </w:trPr>
        <w:tc>
          <w:tcPr>
            <w:tcW w:w="587" w:type="dxa"/>
            <w:tcBorders>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32</w:t>
            </w:r>
          </w:p>
        </w:tc>
        <w:tc>
          <w:tcPr>
            <w:tcW w:w="9620" w:type="dxa"/>
            <w:tcBorders>
              <w:top w:val="single" w:sz="4" w:space="0" w:color="auto"/>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What is the process to be followed if there is change of </w:t>
            </w:r>
            <w:r>
              <w:rPr>
                <w:rFonts w:cs="Tahoma"/>
                <w:color w:val="000000"/>
                <w:lang w:val="en-GB"/>
              </w:rPr>
              <w:t>name/s</w:t>
            </w:r>
            <w:r w:rsidRPr="00794C7B">
              <w:rPr>
                <w:rFonts w:cs="Tahoma"/>
                <w:color w:val="000000"/>
                <w:lang w:val="en-GB"/>
              </w:rPr>
              <w:t>urname while the evaluation process continues?</w:t>
            </w:r>
          </w:p>
          <w:p w:rsidR="00641F48" w:rsidRPr="00794C7B" w:rsidRDefault="00641F48" w:rsidP="00641F48">
            <w:pPr>
              <w:widowControl/>
              <w:tabs>
                <w:tab w:val="left" w:pos="3423"/>
              </w:tabs>
              <w:jc w:val="both"/>
              <w:rPr>
                <w:lang w:val="en-GB"/>
              </w:rPr>
            </w:pPr>
            <w:r w:rsidRPr="009E4090">
              <w:rPr>
                <w:rFonts w:cs="Tahoma"/>
                <w:b/>
                <w:color w:val="000000"/>
                <w:lang w:val="en-GB"/>
              </w:rPr>
              <w:lastRenderedPageBreak/>
              <w:t>C:</w:t>
            </w:r>
            <w:r w:rsidRPr="00794C7B">
              <w:rPr>
                <w:rFonts w:cs="Tahoma"/>
                <w:color w:val="000000"/>
                <w:lang w:val="en-GB"/>
              </w:rPr>
              <w:t xml:space="preserve"> Applicants whose name/surname changes after the application documents are submitted </w:t>
            </w:r>
            <w:r>
              <w:rPr>
                <w:rFonts w:cs="Tahoma"/>
                <w:color w:val="000000"/>
                <w:lang w:val="en-GB"/>
              </w:rPr>
              <w:t>should</w:t>
            </w:r>
            <w:r w:rsidRPr="00794C7B">
              <w:rPr>
                <w:rFonts w:cs="Tahoma"/>
                <w:color w:val="000000"/>
                <w:lang w:val="en-GB"/>
              </w:rPr>
              <w:t xml:space="preserve"> </w:t>
            </w:r>
            <w:r>
              <w:rPr>
                <w:rFonts w:cs="Tahoma"/>
                <w:color w:val="000000"/>
                <w:lang w:val="en-GB"/>
              </w:rPr>
              <w:t xml:space="preserve">inform the Central Finance and Contracts Unit and </w:t>
            </w:r>
            <w:r w:rsidRPr="00794C7B">
              <w:rPr>
                <w:rFonts w:cs="Tahoma"/>
                <w:color w:val="000000"/>
                <w:lang w:val="en-GB"/>
              </w:rPr>
              <w:t>submit the official supporting document, such as court order, marriage certificate, etc..</w:t>
            </w:r>
          </w:p>
        </w:tc>
      </w:tr>
      <w:tr w:rsidR="00641F48" w:rsidRPr="00794C7B" w:rsidTr="00783C72">
        <w:trPr>
          <w:trHeight w:val="454"/>
        </w:trPr>
        <w:tc>
          <w:tcPr>
            <w:tcW w:w="587" w:type="dxa"/>
            <w:tcBorders>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lastRenderedPageBreak/>
              <w:t>33</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Pr>
                <w:rFonts w:cs="Tahoma"/>
                <w:color w:val="000000"/>
                <w:lang w:val="en-GB"/>
              </w:rPr>
              <w:t xml:space="preserve"> Can a public</w:t>
            </w:r>
            <w:r w:rsidRPr="00794C7B">
              <w:rPr>
                <w:rFonts w:cs="Tahoma"/>
                <w:color w:val="000000"/>
                <w:lang w:val="en-GB"/>
              </w:rPr>
              <w:t xml:space="preserve"> sector employee take unpaid leave or is secondment essential?</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The applicant must submit relevant supporting document proving that s/he is working in the same sector before contract signature. The issue of how employees will be assigned or leave issue is at the discretion and authorisation of the institutions/organisations that they are affiliated to. </w:t>
            </w:r>
          </w:p>
        </w:tc>
      </w:tr>
      <w:tr w:rsidR="00641F48" w:rsidRPr="00794C7B" w:rsidTr="00783C72">
        <w:trPr>
          <w:trHeight w:val="454"/>
        </w:trPr>
        <w:tc>
          <w:tcPr>
            <w:tcW w:w="587" w:type="dxa"/>
            <w:tcBorders>
              <w:top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34</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Does Jean Monnet Scholarship Programme support pre-master study?</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No.</w:t>
            </w:r>
          </w:p>
        </w:tc>
      </w:tr>
      <w:tr w:rsidR="00641F48" w:rsidRPr="00794C7B" w:rsidTr="00783C72">
        <w:trPr>
          <w:trHeight w:val="454"/>
        </w:trPr>
        <w:tc>
          <w:tcPr>
            <w:tcW w:w="587" w:type="dxa"/>
            <w:tcBorders>
              <w:top w:val="single" w:sz="4" w:space="0" w:color="auto"/>
              <w:bottom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35</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Can scholars take their families with them to the host country?</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Being accompanied by family members is at the discretion of scholars. However, it should be noted that the Jean Monnet Scholarship only covers the expenses of the scholars. No extra allowance is paid to the scholars who will be travelling with their families/personal attendants.</w:t>
            </w:r>
          </w:p>
        </w:tc>
      </w:tr>
      <w:tr w:rsidR="00641F48" w:rsidRPr="00794C7B" w:rsidTr="00783C72">
        <w:trPr>
          <w:trHeight w:val="454"/>
        </w:trPr>
        <w:tc>
          <w:tcPr>
            <w:tcW w:w="587" w:type="dxa"/>
            <w:tcBorders>
              <w:top w:val="single" w:sz="4" w:space="0" w:color="auto"/>
              <w:bottom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36</w:t>
            </w:r>
          </w:p>
        </w:tc>
        <w:tc>
          <w:tcPr>
            <w:tcW w:w="9620" w:type="dxa"/>
            <w:tcBorders>
              <w:top w:val="nil"/>
              <w:left w:val="single" w:sz="4" w:space="0" w:color="auto"/>
              <w:bottom w:val="single" w:sz="4" w:space="0" w:color="auto"/>
              <w:right w:val="single" w:sz="4" w:space="0" w:color="auto"/>
            </w:tcBorders>
            <w:shd w:val="clear" w:color="auto" w:fill="auto"/>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Can we send an additional document after we have submitted our application?</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It is solely the applicant’s responsibility to submit the application documents in a complete form to the Central Finance and Contracts Unit </w:t>
            </w:r>
            <w:r w:rsidRPr="00225E90">
              <w:rPr>
                <w:rFonts w:cs="Tahoma"/>
                <w:b/>
                <w:color w:val="000000"/>
                <w:lang w:val="en-GB"/>
              </w:rPr>
              <w:t>until the application deadline</w:t>
            </w:r>
            <w:r w:rsidRPr="00794C7B">
              <w:rPr>
                <w:rFonts w:cs="Tahoma"/>
                <w:color w:val="000000"/>
                <w:lang w:val="en-GB"/>
              </w:rPr>
              <w:t>. If need arises to send any document after the submission of the application (</w:t>
            </w:r>
            <w:r w:rsidRPr="00225E90">
              <w:rPr>
                <w:rFonts w:cs="Tahoma"/>
                <w:color w:val="000000"/>
                <w:u w:val="single"/>
                <w:lang w:val="en-GB"/>
              </w:rPr>
              <w:t>no later than the application deadline</w:t>
            </w:r>
            <w:r w:rsidRPr="00794C7B">
              <w:rPr>
                <w:rFonts w:cs="Tahoma"/>
                <w:color w:val="000000"/>
                <w:lang w:val="en-GB"/>
              </w:rPr>
              <w:t xml:space="preserve">), a petition letter explaining the situation in detail should also be attached to the document. </w:t>
            </w:r>
          </w:p>
        </w:tc>
      </w:tr>
      <w:tr w:rsidR="00641F48" w:rsidRPr="00794C7B" w:rsidTr="00783C72">
        <w:trPr>
          <w:trHeight w:val="454"/>
        </w:trPr>
        <w:tc>
          <w:tcPr>
            <w:tcW w:w="587" w:type="dxa"/>
            <w:tcBorders>
              <w:top w:val="single" w:sz="4" w:space="0" w:color="auto"/>
              <w:bottom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37</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Would it be a problem if we take up employment within the host country or distance work for a company in </w:t>
            </w:r>
            <w:proofErr w:type="spellStart"/>
            <w:r w:rsidRPr="00794C7B">
              <w:rPr>
                <w:rFonts w:cs="Tahoma"/>
                <w:color w:val="000000"/>
                <w:lang w:val="en-GB"/>
              </w:rPr>
              <w:t>Türkiye</w:t>
            </w:r>
            <w:proofErr w:type="spellEnd"/>
            <w:r w:rsidRPr="00794C7B">
              <w:rPr>
                <w:rFonts w:cs="Tahoma"/>
                <w:color w:val="000000"/>
                <w:lang w:val="en-GB"/>
              </w:rPr>
              <w:t xml:space="preserve"> during the duration of our scholarship?</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Issues regarding work are not within the context of the Scholarship Programme. However, please note that scholars are expected to successfully complete their academic studies and fulfil their contractual obligations within the Jean Monnet Scholarship Programme. The scholars who could not successfully complete their academic studies or who could not fulfil their contractual obligations will be requested to pay back the whole or a partial amount of the scholarship they have been paid. </w:t>
            </w:r>
          </w:p>
        </w:tc>
      </w:tr>
      <w:tr w:rsidR="00641F48" w:rsidRPr="00794C7B" w:rsidTr="00783C72">
        <w:trPr>
          <w:trHeight w:val="454"/>
        </w:trPr>
        <w:tc>
          <w:tcPr>
            <w:tcW w:w="587" w:type="dxa"/>
            <w:tcBorders>
              <w:top w:val="single" w:sz="4" w:space="0" w:color="auto"/>
              <w:bottom w:val="single" w:sz="4" w:space="0" w:color="auto"/>
              <w:right w:val="single" w:sz="4" w:space="0" w:color="auto"/>
            </w:tcBorders>
            <w:vAlign w:val="center"/>
          </w:tcPr>
          <w:p w:rsidR="00641F48" w:rsidRPr="00794C7B" w:rsidRDefault="00641F48" w:rsidP="00641F48">
            <w:pPr>
              <w:widowControl/>
              <w:tabs>
                <w:tab w:val="left" w:pos="3423"/>
              </w:tabs>
              <w:jc w:val="center"/>
              <w:rPr>
                <w:b/>
                <w:lang w:val="en-GB"/>
              </w:rPr>
            </w:pPr>
            <w:r>
              <w:rPr>
                <w:b/>
                <w:lang w:val="en-GB"/>
              </w:rPr>
              <w:t>38</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What should we write in section "X"</w:t>
            </w:r>
            <w:r>
              <w:rPr>
                <w:rFonts w:cs="Tahoma"/>
                <w:color w:val="000000"/>
                <w:lang w:val="en-GB"/>
              </w:rPr>
              <w:t xml:space="preserve"> in the Application Form</w:t>
            </w:r>
            <w:r w:rsidRPr="00794C7B">
              <w:rPr>
                <w:rFonts w:cs="Tahoma"/>
                <w:color w:val="000000"/>
                <w:lang w:val="en-GB"/>
              </w:rPr>
              <w:t>?</w:t>
            </w:r>
          </w:p>
          <w:p w:rsidR="00641F48" w:rsidRPr="00794C7B" w:rsidRDefault="00641F48" w:rsidP="00641F48">
            <w:pPr>
              <w:widowControl/>
              <w:tabs>
                <w:tab w:val="left" w:pos="3423"/>
              </w:tabs>
              <w:jc w:val="both"/>
              <w:rPr>
                <w:lang w:val="en-GB"/>
              </w:rPr>
            </w:pPr>
            <w:r w:rsidRPr="009E4090">
              <w:rPr>
                <w:rFonts w:cs="Tahoma"/>
                <w:b/>
                <w:color w:val="000000"/>
                <w:lang w:val="en-GB"/>
              </w:rPr>
              <w:t>C:</w:t>
            </w:r>
            <w:r>
              <w:rPr>
                <w:rFonts w:cs="Tahoma"/>
                <w:color w:val="000000"/>
                <w:lang w:val="en-GB"/>
              </w:rPr>
              <w:t xml:space="preserve"> You should fill in the Application F</w:t>
            </w:r>
            <w:r w:rsidRPr="00794C7B">
              <w:rPr>
                <w:rFonts w:cs="Tahoma"/>
                <w:color w:val="000000"/>
                <w:lang w:val="en-GB"/>
              </w:rPr>
              <w:t xml:space="preserve">orm with statements which truly reflect your current situation and which are consistent with the other </w:t>
            </w:r>
            <w:r>
              <w:rPr>
                <w:rFonts w:cs="Tahoma"/>
                <w:color w:val="000000"/>
                <w:lang w:val="en-GB"/>
              </w:rPr>
              <w:t xml:space="preserve">supporting </w:t>
            </w:r>
            <w:r w:rsidRPr="00794C7B">
              <w:rPr>
                <w:rFonts w:cs="Tahoma"/>
                <w:color w:val="000000"/>
                <w:lang w:val="en-GB"/>
              </w:rPr>
              <w:t>documents you have submitted.</w:t>
            </w:r>
          </w:p>
        </w:tc>
      </w:tr>
      <w:tr w:rsidR="00641F48" w:rsidRPr="00794C7B" w:rsidTr="00382636">
        <w:trPr>
          <w:trHeight w:val="454"/>
        </w:trPr>
        <w:tc>
          <w:tcPr>
            <w:tcW w:w="587" w:type="dxa"/>
            <w:tcBorders>
              <w:top w:val="single" w:sz="4" w:space="0" w:color="auto"/>
              <w:bottom w:val="single" w:sz="4" w:space="0" w:color="auto"/>
              <w:right w:val="single" w:sz="4" w:space="0" w:color="auto"/>
            </w:tcBorders>
            <w:shd w:val="clear" w:color="auto" w:fill="auto"/>
            <w:vAlign w:val="center"/>
          </w:tcPr>
          <w:p w:rsidR="00641F48" w:rsidRPr="00794C7B" w:rsidRDefault="00641F48" w:rsidP="00641F48">
            <w:pPr>
              <w:widowControl/>
              <w:tabs>
                <w:tab w:val="left" w:pos="3423"/>
              </w:tabs>
              <w:jc w:val="center"/>
              <w:rPr>
                <w:b/>
                <w:lang w:val="en-GB"/>
              </w:rPr>
            </w:pPr>
            <w:r>
              <w:rPr>
                <w:b/>
                <w:lang w:val="en-GB"/>
              </w:rPr>
              <w:t>39</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I realised that I had not written the statement “Not To be Opened Before Opening Session” when I sent my application documents. Should I re-send the documents with the statement as indicated in the announcement o</w:t>
            </w:r>
            <w:r w:rsidR="00DD3660">
              <w:rPr>
                <w:rFonts w:cs="Tahoma"/>
                <w:color w:val="000000"/>
                <w:lang w:val="en-GB"/>
              </w:rPr>
              <w:t>r</w:t>
            </w:r>
            <w:r w:rsidRPr="00794C7B">
              <w:rPr>
                <w:rFonts w:cs="Tahoma"/>
                <w:color w:val="000000"/>
                <w:lang w:val="en-GB"/>
              </w:rPr>
              <w:t xml:space="preserve"> would it be accepted as it is?</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w:t>
            </w:r>
            <w:r>
              <w:rPr>
                <w:rFonts w:cs="Tahoma"/>
                <w:color w:val="000000"/>
                <w:lang w:val="en-GB"/>
              </w:rPr>
              <w:t>No, you do not have to re-submit your application if it is already received and registered by the Central Finance and Contracts Unit.</w:t>
            </w:r>
          </w:p>
        </w:tc>
      </w:tr>
      <w:tr w:rsidR="00641F48" w:rsidRPr="00794C7B" w:rsidTr="00382636">
        <w:trPr>
          <w:trHeight w:val="454"/>
        </w:trPr>
        <w:tc>
          <w:tcPr>
            <w:tcW w:w="587" w:type="dxa"/>
            <w:tcBorders>
              <w:top w:val="single" w:sz="4" w:space="0" w:color="auto"/>
              <w:bottom w:val="single" w:sz="4" w:space="0" w:color="auto"/>
              <w:right w:val="single" w:sz="4" w:space="0" w:color="auto"/>
            </w:tcBorders>
            <w:shd w:val="clear" w:color="auto" w:fill="auto"/>
            <w:vAlign w:val="center"/>
          </w:tcPr>
          <w:p w:rsidR="00641F48" w:rsidRPr="00794C7B" w:rsidRDefault="00641F48" w:rsidP="00641F48">
            <w:pPr>
              <w:widowControl/>
              <w:tabs>
                <w:tab w:val="left" w:pos="3423"/>
              </w:tabs>
              <w:jc w:val="center"/>
              <w:rPr>
                <w:b/>
                <w:lang w:val="en-GB"/>
              </w:rPr>
            </w:pPr>
            <w:r>
              <w:rPr>
                <w:b/>
                <w:lang w:val="en-GB"/>
              </w:rPr>
              <w:t>40</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The latest </w:t>
            </w:r>
            <w:r w:rsidR="00A24017">
              <w:rPr>
                <w:rFonts w:cs="Tahoma"/>
                <w:color w:val="000000"/>
                <w:lang w:val="en-GB"/>
              </w:rPr>
              <w:t>Jean Monnet A</w:t>
            </w:r>
            <w:r w:rsidRPr="00794C7B">
              <w:rPr>
                <w:rFonts w:cs="Tahoma"/>
                <w:color w:val="000000"/>
                <w:lang w:val="en-GB"/>
              </w:rPr>
              <w:t xml:space="preserve">cademic </w:t>
            </w:r>
            <w:r w:rsidR="00A24017">
              <w:rPr>
                <w:rFonts w:cs="Tahoma"/>
                <w:color w:val="000000"/>
                <w:lang w:val="en-GB"/>
              </w:rPr>
              <w:t>Year R</w:t>
            </w:r>
            <w:r w:rsidRPr="00794C7B">
              <w:rPr>
                <w:rFonts w:cs="Tahoma"/>
                <w:color w:val="000000"/>
                <w:lang w:val="en-GB"/>
              </w:rPr>
              <w:t>eport published is the 2015-2016 report and no reports have been published since. Can you please share the reports?</w:t>
            </w:r>
          </w:p>
          <w:p w:rsidR="00641F48" w:rsidRPr="00794C7B" w:rsidRDefault="00641F48" w:rsidP="00641F48">
            <w:pPr>
              <w:widowControl/>
              <w:tabs>
                <w:tab w:val="left" w:pos="3423"/>
              </w:tabs>
              <w:jc w:val="both"/>
              <w:rPr>
                <w:lang w:val="en-GB"/>
              </w:rPr>
            </w:pPr>
            <w:r w:rsidRPr="009E4090">
              <w:rPr>
                <w:rFonts w:cs="Tahoma"/>
                <w:b/>
                <w:color w:val="000000"/>
                <w:lang w:val="en-GB"/>
              </w:rPr>
              <w:t>C:</w:t>
            </w:r>
            <w:r>
              <w:rPr>
                <w:rFonts w:cs="Tahoma"/>
                <w:color w:val="000000"/>
                <w:lang w:val="en-GB"/>
              </w:rPr>
              <w:t xml:space="preserve"> </w:t>
            </w:r>
            <w:r w:rsidR="00A24017">
              <w:rPr>
                <w:rFonts w:cs="Tahoma"/>
                <w:color w:val="000000"/>
                <w:lang w:val="en-GB"/>
              </w:rPr>
              <w:t xml:space="preserve">No. </w:t>
            </w:r>
            <w:r>
              <w:rPr>
                <w:rFonts w:cs="Tahoma"/>
                <w:color w:val="000000"/>
                <w:lang w:val="en-GB"/>
              </w:rPr>
              <w:t xml:space="preserve">Based on the </w:t>
            </w:r>
            <w:r w:rsidRPr="00FD35D9">
              <w:rPr>
                <w:rFonts w:cs="Tahoma"/>
                <w:color w:val="000000"/>
                <w:lang w:val="en-GB"/>
              </w:rPr>
              <w:t>General Data Protection Regulation</w:t>
            </w:r>
            <w:r>
              <w:rPr>
                <w:rFonts w:cs="Tahoma"/>
                <w:color w:val="000000"/>
                <w:lang w:val="en-GB"/>
              </w:rPr>
              <w:t>,</w:t>
            </w:r>
            <w:r w:rsidRPr="00FD35D9">
              <w:rPr>
                <w:rFonts w:cs="Tahoma"/>
                <w:color w:val="000000"/>
                <w:lang w:val="en-GB"/>
              </w:rPr>
              <w:t xml:space="preserve"> </w:t>
            </w:r>
            <w:r w:rsidR="00A24017">
              <w:rPr>
                <w:rFonts w:cs="Tahoma"/>
                <w:color w:val="000000"/>
                <w:lang w:val="en-GB"/>
              </w:rPr>
              <w:t>A</w:t>
            </w:r>
            <w:r>
              <w:rPr>
                <w:rFonts w:cs="Tahoma"/>
                <w:color w:val="000000"/>
                <w:lang w:val="en-GB"/>
              </w:rPr>
              <w:t xml:space="preserve">cademic </w:t>
            </w:r>
            <w:r w:rsidR="00A24017">
              <w:rPr>
                <w:rFonts w:cs="Tahoma"/>
                <w:color w:val="000000"/>
                <w:lang w:val="en-GB"/>
              </w:rPr>
              <w:t>Year R</w:t>
            </w:r>
            <w:r>
              <w:rPr>
                <w:rFonts w:cs="Tahoma"/>
                <w:color w:val="000000"/>
                <w:lang w:val="en-GB"/>
              </w:rPr>
              <w:t>eports are not publicly published.</w:t>
            </w:r>
          </w:p>
        </w:tc>
      </w:tr>
      <w:tr w:rsidR="00641F48" w:rsidRPr="00794C7B" w:rsidTr="00382636">
        <w:trPr>
          <w:trHeight w:val="454"/>
        </w:trPr>
        <w:tc>
          <w:tcPr>
            <w:tcW w:w="587" w:type="dxa"/>
            <w:tcBorders>
              <w:top w:val="single" w:sz="4" w:space="0" w:color="auto"/>
              <w:bottom w:val="single" w:sz="4" w:space="0" w:color="auto"/>
              <w:right w:val="single" w:sz="4" w:space="0" w:color="auto"/>
            </w:tcBorders>
            <w:shd w:val="clear" w:color="auto" w:fill="auto"/>
            <w:vAlign w:val="center"/>
          </w:tcPr>
          <w:p w:rsidR="00641F48" w:rsidRPr="00794C7B" w:rsidRDefault="00641F48" w:rsidP="00641F48">
            <w:pPr>
              <w:widowControl/>
              <w:tabs>
                <w:tab w:val="left" w:pos="3423"/>
              </w:tabs>
              <w:jc w:val="center"/>
              <w:rPr>
                <w:b/>
                <w:lang w:val="en-GB"/>
              </w:rPr>
            </w:pPr>
            <w:r>
              <w:rPr>
                <w:b/>
                <w:lang w:val="en-GB"/>
              </w:rPr>
              <w:t>41</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Pr>
                <w:rFonts w:cs="Tahoma"/>
                <w:color w:val="000000"/>
                <w:lang w:val="en-GB"/>
              </w:rPr>
              <w:t xml:space="preserve"> Which</w:t>
            </w:r>
            <w:r w:rsidRPr="00794C7B">
              <w:rPr>
                <w:rFonts w:cs="Tahoma"/>
                <w:color w:val="000000"/>
                <w:lang w:val="en-GB"/>
              </w:rPr>
              <w:t xml:space="preserve"> days and ho</w:t>
            </w:r>
            <w:r>
              <w:rPr>
                <w:rFonts w:cs="Tahoma"/>
                <w:color w:val="000000"/>
                <w:lang w:val="en-GB"/>
              </w:rPr>
              <w:t>u</w:t>
            </w:r>
            <w:r w:rsidRPr="00794C7B">
              <w:rPr>
                <w:rFonts w:cs="Tahoma"/>
                <w:color w:val="000000"/>
                <w:lang w:val="en-GB"/>
              </w:rPr>
              <w:t>rs is Central Finance and Contracts Unit open for us to submit our applications?</w:t>
            </w:r>
          </w:p>
          <w:p w:rsidR="00641F48" w:rsidRPr="00794C7B" w:rsidRDefault="00641F48" w:rsidP="00641F48">
            <w:pPr>
              <w:widowControl/>
              <w:tabs>
                <w:tab w:val="left" w:pos="3423"/>
              </w:tabs>
              <w:jc w:val="both"/>
              <w:rPr>
                <w:lang w:val="en-GB"/>
              </w:rPr>
            </w:pPr>
            <w:r w:rsidRPr="009E4090">
              <w:rPr>
                <w:rFonts w:cs="Tahoma"/>
                <w:b/>
                <w:color w:val="000000"/>
                <w:lang w:val="en-GB"/>
              </w:rPr>
              <w:t>C:</w:t>
            </w:r>
            <w:r>
              <w:rPr>
                <w:rFonts w:cs="Tahoma"/>
                <w:color w:val="000000"/>
                <w:lang w:val="en-GB"/>
              </w:rPr>
              <w:t xml:space="preserve"> </w:t>
            </w:r>
            <w:r w:rsidRPr="00794C7B">
              <w:rPr>
                <w:rFonts w:cs="Tahoma"/>
                <w:color w:val="000000"/>
                <w:lang w:val="en-GB"/>
              </w:rPr>
              <w:t xml:space="preserve">Central Finance and Contracts Unit offices are open on workdays </w:t>
            </w:r>
            <w:r>
              <w:rPr>
                <w:rFonts w:cs="Tahoma"/>
                <w:color w:val="000000"/>
                <w:lang w:val="en-GB"/>
              </w:rPr>
              <w:t>between</w:t>
            </w:r>
            <w:r w:rsidRPr="00794C7B">
              <w:rPr>
                <w:rFonts w:cs="Tahoma"/>
                <w:color w:val="000000"/>
                <w:lang w:val="en-GB"/>
              </w:rPr>
              <w:t xml:space="preserve"> 09:00-18:00 hours.</w:t>
            </w:r>
          </w:p>
        </w:tc>
      </w:tr>
      <w:tr w:rsidR="00641F48" w:rsidRPr="00794C7B" w:rsidTr="00382636">
        <w:trPr>
          <w:trHeight w:val="454"/>
        </w:trPr>
        <w:tc>
          <w:tcPr>
            <w:tcW w:w="587" w:type="dxa"/>
            <w:tcBorders>
              <w:top w:val="single" w:sz="4" w:space="0" w:color="auto"/>
              <w:bottom w:val="single" w:sz="4" w:space="0" w:color="auto"/>
              <w:right w:val="single" w:sz="4" w:space="0" w:color="auto"/>
            </w:tcBorders>
            <w:shd w:val="clear" w:color="auto" w:fill="auto"/>
            <w:vAlign w:val="center"/>
          </w:tcPr>
          <w:p w:rsidR="00641F48" w:rsidRPr="00794C7B" w:rsidRDefault="00641F48" w:rsidP="00641F48">
            <w:pPr>
              <w:widowControl/>
              <w:tabs>
                <w:tab w:val="left" w:pos="3423"/>
              </w:tabs>
              <w:jc w:val="center"/>
              <w:rPr>
                <w:b/>
                <w:lang w:val="en-GB"/>
              </w:rPr>
            </w:pPr>
            <w:r>
              <w:rPr>
                <w:b/>
                <w:lang w:val="en-GB"/>
              </w:rPr>
              <w:t>42</w:t>
            </w:r>
          </w:p>
        </w:tc>
        <w:tc>
          <w:tcPr>
            <w:tcW w:w="9620" w:type="dxa"/>
            <w:tcBorders>
              <w:top w:val="nil"/>
              <w:left w:val="single" w:sz="4" w:space="0" w:color="auto"/>
              <w:bottom w:val="single" w:sz="4" w:space="0" w:color="auto"/>
              <w:right w:val="single" w:sz="4" w:space="0" w:color="auto"/>
            </w:tcBorders>
            <w:shd w:val="clear" w:color="auto" w:fill="auto"/>
            <w:vAlign w:val="center"/>
          </w:tcPr>
          <w:p w:rsidR="00641F48" w:rsidRDefault="00641F48" w:rsidP="00641F48">
            <w:pPr>
              <w:widowControl/>
              <w:tabs>
                <w:tab w:val="left" w:pos="3423"/>
              </w:tabs>
              <w:jc w:val="both"/>
              <w:rPr>
                <w:rFonts w:cs="Tahoma"/>
                <w:color w:val="000000"/>
                <w:lang w:val="en-GB"/>
              </w:rPr>
            </w:pPr>
            <w:r w:rsidRPr="009E4090">
              <w:rPr>
                <w:rFonts w:cs="Tahoma"/>
                <w:b/>
                <w:color w:val="000000"/>
                <w:lang w:val="en-GB"/>
              </w:rPr>
              <w:t>Q:</w:t>
            </w:r>
            <w:r w:rsidRPr="00794C7B">
              <w:rPr>
                <w:rFonts w:cs="Tahoma"/>
                <w:color w:val="000000"/>
                <w:lang w:val="en-GB"/>
              </w:rPr>
              <w:t xml:space="preserve"> During my master's degree in Italy, I received scholarship funding by the Lazio region (Lazio </w:t>
            </w:r>
            <w:proofErr w:type="spellStart"/>
            <w:r w:rsidRPr="00794C7B">
              <w:rPr>
                <w:rFonts w:cs="Tahoma"/>
                <w:color w:val="000000"/>
                <w:lang w:val="en-GB"/>
              </w:rPr>
              <w:t>DiSCo</w:t>
            </w:r>
            <w:proofErr w:type="spellEnd"/>
            <w:r w:rsidRPr="00794C7B">
              <w:rPr>
                <w:rFonts w:cs="Tahoma"/>
                <w:color w:val="000000"/>
                <w:lang w:val="en-GB"/>
              </w:rPr>
              <w:t>), but this support was 420 Euros per month, which did not cover tuition fees, did not cover expenses such as travelling to conferences, and did not include fees such as health insurance, whereas scholarships such as DAAD, EIFELL are much more comprehensive. Is there a list indicating which scholarship holders cannot apply for this scholarship?</w:t>
            </w:r>
          </w:p>
          <w:p w:rsidR="00641F48" w:rsidRPr="00794C7B" w:rsidRDefault="00641F48" w:rsidP="00641F48">
            <w:pPr>
              <w:widowControl/>
              <w:tabs>
                <w:tab w:val="left" w:pos="3423"/>
              </w:tabs>
              <w:jc w:val="both"/>
              <w:rPr>
                <w:lang w:val="en-GB"/>
              </w:rPr>
            </w:pPr>
            <w:r w:rsidRPr="009E4090">
              <w:rPr>
                <w:rFonts w:cs="Tahoma"/>
                <w:b/>
                <w:color w:val="000000"/>
                <w:lang w:val="en-GB"/>
              </w:rPr>
              <w:t>C:</w:t>
            </w:r>
            <w:r w:rsidRPr="00794C7B">
              <w:rPr>
                <w:rFonts w:cs="Tahoma"/>
                <w:color w:val="000000"/>
                <w:lang w:val="en-GB"/>
              </w:rPr>
              <w:t xml:space="preserve"> </w:t>
            </w:r>
            <w:r w:rsidRPr="00A83B0C">
              <w:rPr>
                <w:rFonts w:cs="Tahoma"/>
                <w:color w:val="000000"/>
                <w:lang w:val="en-GB"/>
              </w:rPr>
              <w:t>Prior opinion/approval cannot be given for the eligibility of an applicant. Asse</w:t>
            </w:r>
            <w:r>
              <w:rPr>
                <w:rFonts w:cs="Tahoma"/>
                <w:color w:val="000000"/>
                <w:lang w:val="en-GB"/>
              </w:rPr>
              <w:t>s</w:t>
            </w:r>
            <w:r w:rsidRPr="00A83B0C">
              <w:rPr>
                <w:rFonts w:cs="Tahoma"/>
                <w:color w:val="000000"/>
                <w:lang w:val="en-GB"/>
              </w:rPr>
              <w:t>sment will be done based on the submitted application documents</w:t>
            </w:r>
            <w:r w:rsidRPr="00794C7B">
              <w:rPr>
                <w:rFonts w:cs="Tahoma"/>
                <w:color w:val="000000"/>
                <w:lang w:val="en-GB"/>
              </w:rPr>
              <w:t>.</w:t>
            </w:r>
            <w:r>
              <w:rPr>
                <w:rFonts w:cs="Tahoma"/>
                <w:color w:val="000000"/>
                <w:lang w:val="en-GB"/>
              </w:rPr>
              <w:t xml:space="preserve"> There is no list indicating </w:t>
            </w:r>
            <w:r w:rsidRPr="00A83B0C">
              <w:rPr>
                <w:rFonts w:cs="Tahoma"/>
                <w:color w:val="000000"/>
                <w:lang w:val="en-GB"/>
              </w:rPr>
              <w:t>which scholarship holders cannot apply for this scholarship</w:t>
            </w:r>
            <w:r>
              <w:rPr>
                <w:rFonts w:cs="Tahoma"/>
                <w:color w:val="000000"/>
                <w:lang w:val="en-GB"/>
              </w:rPr>
              <w:t>.</w:t>
            </w:r>
          </w:p>
        </w:tc>
      </w:tr>
      <w:bookmarkEnd w:id="2"/>
    </w:tbl>
    <w:p w:rsidR="00F9208E" w:rsidRPr="00794C7B" w:rsidRDefault="00F9208E" w:rsidP="00FA6A9B">
      <w:pPr>
        <w:widowControl/>
        <w:tabs>
          <w:tab w:val="left" w:pos="3423"/>
        </w:tabs>
        <w:rPr>
          <w:lang w:val="en-GB"/>
        </w:rPr>
      </w:pPr>
    </w:p>
    <w:sectPr w:rsidR="00F9208E" w:rsidRPr="00794C7B" w:rsidSect="0051152D">
      <w:pgSz w:w="11910" w:h="16840"/>
      <w:pgMar w:top="567" w:right="1300" w:bottom="993"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ED0" w:rsidRDefault="00E84ED0" w:rsidP="002E2059">
      <w:r>
        <w:separator/>
      </w:r>
    </w:p>
  </w:endnote>
  <w:endnote w:type="continuationSeparator" w:id="0">
    <w:p w:rsidR="00E84ED0" w:rsidRDefault="00E84ED0" w:rsidP="002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CF" w:rsidRDefault="002556CF">
    <w:pPr>
      <w:pStyle w:val="AltBilgi"/>
      <w:jc w:val="right"/>
    </w:pPr>
  </w:p>
  <w:p w:rsidR="002556CF" w:rsidRDefault="002556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CF" w:rsidRDefault="002556CF">
    <w:pPr>
      <w:pStyle w:val="AltBilgi"/>
      <w:jc w:val="right"/>
    </w:pPr>
    <w:r>
      <w:fldChar w:fldCharType="begin"/>
    </w:r>
    <w:r>
      <w:instrText xml:space="preserve"> PAGE   \* MERGEFORMAT </w:instrText>
    </w:r>
    <w:r>
      <w:fldChar w:fldCharType="separate"/>
    </w:r>
    <w:r w:rsidR="002776C5">
      <w:rPr>
        <w:noProof/>
      </w:rPr>
      <w:t>4</w:t>
    </w:r>
    <w:r>
      <w:rPr>
        <w:noProof/>
      </w:rPr>
      <w:fldChar w:fldCharType="end"/>
    </w:r>
  </w:p>
  <w:p w:rsidR="002556CF" w:rsidRDefault="002556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ED0" w:rsidRDefault="00E84ED0" w:rsidP="002E2059">
      <w:r>
        <w:separator/>
      </w:r>
    </w:p>
  </w:footnote>
  <w:footnote w:type="continuationSeparator" w:id="0">
    <w:p w:rsidR="00E84ED0" w:rsidRDefault="00E84ED0" w:rsidP="002E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DED" w:rsidRDefault="006C6DED">
    <w:pPr>
      <w:pStyle w:val="stBilgi"/>
    </w:pPr>
    <w:r w:rsidRPr="006C6DED">
      <w:rPr>
        <w:noProof/>
        <w:sz w:val="22"/>
        <w:szCs w:val="22"/>
        <w:lang w:bidi="ar-SA"/>
      </w:rPr>
      <w:drawing>
        <wp:anchor distT="0" distB="0" distL="114300" distR="114300" simplePos="0" relativeHeight="251659264" behindDoc="1" locked="0" layoutInCell="1" allowOverlap="1" wp14:anchorId="67DA40E6" wp14:editId="3AF8A015">
          <wp:simplePos x="0" y="0"/>
          <wp:positionH relativeFrom="page">
            <wp:align>right</wp:align>
          </wp:positionH>
          <wp:positionV relativeFrom="paragraph">
            <wp:posOffset>-438785</wp:posOffset>
          </wp:positionV>
          <wp:extent cx="7560310" cy="10693400"/>
          <wp:effectExtent l="0" t="0" r="2540" b="0"/>
          <wp:wrapNone/>
          <wp:docPr id="3"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90CF6"/>
    <w:multiLevelType w:val="hybridMultilevel"/>
    <w:tmpl w:val="9912B214"/>
    <w:lvl w:ilvl="0" w:tplc="FFFFFFFF">
      <w:start w:val="1"/>
      <w:numFmt w:val="decimal"/>
      <w:lvlText w:val="%1."/>
      <w:lvlJc w:val="left"/>
      <w:pPr>
        <w:ind w:left="478" w:hanging="360"/>
      </w:pPr>
      <w:rPr>
        <w:rFonts w:hint="default"/>
        <w:b/>
        <w:bCs w:val="0"/>
        <w:color w:val="345A89"/>
        <w:sz w:val="24"/>
        <w:szCs w:val="24"/>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 w15:restartNumberingAfterBreak="0">
    <w:nsid w:val="37626E04"/>
    <w:multiLevelType w:val="hybridMultilevel"/>
    <w:tmpl w:val="B2C0243C"/>
    <w:lvl w:ilvl="0" w:tplc="9DEAA57A">
      <w:start w:val="12"/>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2" w15:restartNumberingAfterBreak="0">
    <w:nsid w:val="46DC2673"/>
    <w:multiLevelType w:val="hybridMultilevel"/>
    <w:tmpl w:val="8656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91A27"/>
    <w:multiLevelType w:val="hybridMultilevel"/>
    <w:tmpl w:val="E200C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5"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6" w15:restartNumberingAfterBreak="0">
    <w:nsid w:val="6FA860EF"/>
    <w:multiLevelType w:val="multilevel"/>
    <w:tmpl w:val="086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91FC6"/>
    <w:multiLevelType w:val="hybridMultilevel"/>
    <w:tmpl w:val="9912B214"/>
    <w:lvl w:ilvl="0" w:tplc="48765928">
      <w:start w:val="1"/>
      <w:numFmt w:val="decimal"/>
      <w:lvlText w:val="%1."/>
      <w:lvlJc w:val="left"/>
      <w:pPr>
        <w:ind w:left="478" w:hanging="360"/>
      </w:pPr>
      <w:rPr>
        <w:rFonts w:hint="default"/>
        <w:b/>
        <w:bCs w:val="0"/>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8" w15:restartNumberingAfterBreak="0">
    <w:nsid w:val="7D1265AD"/>
    <w:multiLevelType w:val="hybridMultilevel"/>
    <w:tmpl w:val="C310BE00"/>
    <w:lvl w:ilvl="0" w:tplc="DC2E8B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7"/>
  </w:num>
  <w:num w:numId="4">
    <w:abstractNumId w:val="1"/>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B4"/>
    <w:rsid w:val="0000298A"/>
    <w:rsid w:val="00005FDE"/>
    <w:rsid w:val="00010173"/>
    <w:rsid w:val="00010FAB"/>
    <w:rsid w:val="00012109"/>
    <w:rsid w:val="00012D02"/>
    <w:rsid w:val="0001395C"/>
    <w:rsid w:val="0001444D"/>
    <w:rsid w:val="00015A2B"/>
    <w:rsid w:val="00017367"/>
    <w:rsid w:val="00021702"/>
    <w:rsid w:val="00021B64"/>
    <w:rsid w:val="00022478"/>
    <w:rsid w:val="00023AD6"/>
    <w:rsid w:val="00024787"/>
    <w:rsid w:val="00025F9E"/>
    <w:rsid w:val="00026B95"/>
    <w:rsid w:val="0003128A"/>
    <w:rsid w:val="000319F1"/>
    <w:rsid w:val="00032ED2"/>
    <w:rsid w:val="000339FE"/>
    <w:rsid w:val="00033ACD"/>
    <w:rsid w:val="00034806"/>
    <w:rsid w:val="0003492E"/>
    <w:rsid w:val="00034C7C"/>
    <w:rsid w:val="00041171"/>
    <w:rsid w:val="00041B3D"/>
    <w:rsid w:val="00041DA7"/>
    <w:rsid w:val="00045BEA"/>
    <w:rsid w:val="00046695"/>
    <w:rsid w:val="0004771D"/>
    <w:rsid w:val="000506A5"/>
    <w:rsid w:val="00051E0A"/>
    <w:rsid w:val="00053478"/>
    <w:rsid w:val="00060E9B"/>
    <w:rsid w:val="00063AEB"/>
    <w:rsid w:val="000648D4"/>
    <w:rsid w:val="000673A4"/>
    <w:rsid w:val="00070B18"/>
    <w:rsid w:val="000734D5"/>
    <w:rsid w:val="00075956"/>
    <w:rsid w:val="00076391"/>
    <w:rsid w:val="00077353"/>
    <w:rsid w:val="00080BE7"/>
    <w:rsid w:val="000813E9"/>
    <w:rsid w:val="000835F1"/>
    <w:rsid w:val="0008385B"/>
    <w:rsid w:val="00083B36"/>
    <w:rsid w:val="00083C3F"/>
    <w:rsid w:val="0008440D"/>
    <w:rsid w:val="00084F5E"/>
    <w:rsid w:val="0008730B"/>
    <w:rsid w:val="00087EE8"/>
    <w:rsid w:val="00090786"/>
    <w:rsid w:val="00093963"/>
    <w:rsid w:val="00093D67"/>
    <w:rsid w:val="000964BB"/>
    <w:rsid w:val="000A0795"/>
    <w:rsid w:val="000A544E"/>
    <w:rsid w:val="000A768F"/>
    <w:rsid w:val="000B1109"/>
    <w:rsid w:val="000B393B"/>
    <w:rsid w:val="000B3A07"/>
    <w:rsid w:val="000B5FAF"/>
    <w:rsid w:val="000B613E"/>
    <w:rsid w:val="000B624A"/>
    <w:rsid w:val="000C1433"/>
    <w:rsid w:val="000C2235"/>
    <w:rsid w:val="000C4E6E"/>
    <w:rsid w:val="000C6186"/>
    <w:rsid w:val="000C7781"/>
    <w:rsid w:val="000D1F93"/>
    <w:rsid w:val="000D2148"/>
    <w:rsid w:val="000D2152"/>
    <w:rsid w:val="000D26A1"/>
    <w:rsid w:val="000D27FF"/>
    <w:rsid w:val="000D5161"/>
    <w:rsid w:val="000D64CF"/>
    <w:rsid w:val="000D6FEC"/>
    <w:rsid w:val="000D7B02"/>
    <w:rsid w:val="000E3EC1"/>
    <w:rsid w:val="000E71C7"/>
    <w:rsid w:val="000E7CA9"/>
    <w:rsid w:val="000F0C54"/>
    <w:rsid w:val="000F1A30"/>
    <w:rsid w:val="000F2D4B"/>
    <w:rsid w:val="000F31DF"/>
    <w:rsid w:val="000F496A"/>
    <w:rsid w:val="000F53F6"/>
    <w:rsid w:val="000F5481"/>
    <w:rsid w:val="000F760E"/>
    <w:rsid w:val="000F7D4E"/>
    <w:rsid w:val="00101281"/>
    <w:rsid w:val="00104375"/>
    <w:rsid w:val="00105ECD"/>
    <w:rsid w:val="00106AD0"/>
    <w:rsid w:val="00107C86"/>
    <w:rsid w:val="00111F91"/>
    <w:rsid w:val="00112A0B"/>
    <w:rsid w:val="001135C0"/>
    <w:rsid w:val="00113E8D"/>
    <w:rsid w:val="0011457C"/>
    <w:rsid w:val="001159A1"/>
    <w:rsid w:val="00115EBB"/>
    <w:rsid w:val="00116C09"/>
    <w:rsid w:val="00117BC1"/>
    <w:rsid w:val="00121466"/>
    <w:rsid w:val="00122B36"/>
    <w:rsid w:val="00124F1C"/>
    <w:rsid w:val="00125A65"/>
    <w:rsid w:val="00131122"/>
    <w:rsid w:val="00131166"/>
    <w:rsid w:val="00140F0C"/>
    <w:rsid w:val="00143324"/>
    <w:rsid w:val="00144F0E"/>
    <w:rsid w:val="0015290D"/>
    <w:rsid w:val="00153B1E"/>
    <w:rsid w:val="00153F08"/>
    <w:rsid w:val="001543FA"/>
    <w:rsid w:val="00155365"/>
    <w:rsid w:val="00156A07"/>
    <w:rsid w:val="00156C8B"/>
    <w:rsid w:val="00156CE2"/>
    <w:rsid w:val="0015748F"/>
    <w:rsid w:val="0015749D"/>
    <w:rsid w:val="00157AB0"/>
    <w:rsid w:val="00157FB0"/>
    <w:rsid w:val="001608ED"/>
    <w:rsid w:val="001616A1"/>
    <w:rsid w:val="00163225"/>
    <w:rsid w:val="00165E60"/>
    <w:rsid w:val="00171BC5"/>
    <w:rsid w:val="00173C59"/>
    <w:rsid w:val="00174CA0"/>
    <w:rsid w:val="00176054"/>
    <w:rsid w:val="001766F6"/>
    <w:rsid w:val="001769EF"/>
    <w:rsid w:val="0017701D"/>
    <w:rsid w:val="001774D8"/>
    <w:rsid w:val="00177A72"/>
    <w:rsid w:val="00180515"/>
    <w:rsid w:val="00180866"/>
    <w:rsid w:val="00183F1D"/>
    <w:rsid w:val="00186218"/>
    <w:rsid w:val="00187828"/>
    <w:rsid w:val="00191213"/>
    <w:rsid w:val="00192EE5"/>
    <w:rsid w:val="0019311C"/>
    <w:rsid w:val="0019326B"/>
    <w:rsid w:val="001933CA"/>
    <w:rsid w:val="00196035"/>
    <w:rsid w:val="00197E99"/>
    <w:rsid w:val="001A11DE"/>
    <w:rsid w:val="001A16E6"/>
    <w:rsid w:val="001A189D"/>
    <w:rsid w:val="001A2EB1"/>
    <w:rsid w:val="001A34C2"/>
    <w:rsid w:val="001A437E"/>
    <w:rsid w:val="001A5317"/>
    <w:rsid w:val="001B21DD"/>
    <w:rsid w:val="001B376D"/>
    <w:rsid w:val="001B4A7A"/>
    <w:rsid w:val="001B4F18"/>
    <w:rsid w:val="001B568A"/>
    <w:rsid w:val="001B7C01"/>
    <w:rsid w:val="001C025E"/>
    <w:rsid w:val="001C0E43"/>
    <w:rsid w:val="001C25DC"/>
    <w:rsid w:val="001C6F02"/>
    <w:rsid w:val="001D0F0D"/>
    <w:rsid w:val="001D1863"/>
    <w:rsid w:val="001D2985"/>
    <w:rsid w:val="001D7A91"/>
    <w:rsid w:val="001E17FC"/>
    <w:rsid w:val="001E3473"/>
    <w:rsid w:val="001E42A9"/>
    <w:rsid w:val="001E7F71"/>
    <w:rsid w:val="001F1242"/>
    <w:rsid w:val="001F2BF9"/>
    <w:rsid w:val="001F2F40"/>
    <w:rsid w:val="001F34DE"/>
    <w:rsid w:val="001F417D"/>
    <w:rsid w:val="001F6495"/>
    <w:rsid w:val="001F6A94"/>
    <w:rsid w:val="00200149"/>
    <w:rsid w:val="00201BAD"/>
    <w:rsid w:val="002065C8"/>
    <w:rsid w:val="00206790"/>
    <w:rsid w:val="002067E7"/>
    <w:rsid w:val="00207018"/>
    <w:rsid w:val="002119FB"/>
    <w:rsid w:val="002122CC"/>
    <w:rsid w:val="002143C9"/>
    <w:rsid w:val="00214E9C"/>
    <w:rsid w:val="00215454"/>
    <w:rsid w:val="0021626B"/>
    <w:rsid w:val="00216B09"/>
    <w:rsid w:val="00220816"/>
    <w:rsid w:val="00221F10"/>
    <w:rsid w:val="002247B2"/>
    <w:rsid w:val="00225E90"/>
    <w:rsid w:val="00225EDD"/>
    <w:rsid w:val="00226347"/>
    <w:rsid w:val="00230246"/>
    <w:rsid w:val="002305E5"/>
    <w:rsid w:val="00231F4F"/>
    <w:rsid w:val="00242291"/>
    <w:rsid w:val="00242E27"/>
    <w:rsid w:val="00243C5A"/>
    <w:rsid w:val="00243DC9"/>
    <w:rsid w:val="00246F97"/>
    <w:rsid w:val="00253340"/>
    <w:rsid w:val="00253B5E"/>
    <w:rsid w:val="002556CF"/>
    <w:rsid w:val="00256081"/>
    <w:rsid w:val="00256DDC"/>
    <w:rsid w:val="002575C0"/>
    <w:rsid w:val="00257CF2"/>
    <w:rsid w:val="00262C5F"/>
    <w:rsid w:val="00262E34"/>
    <w:rsid w:val="00263C4F"/>
    <w:rsid w:val="002657EF"/>
    <w:rsid w:val="00267F68"/>
    <w:rsid w:val="00274E60"/>
    <w:rsid w:val="00275EB0"/>
    <w:rsid w:val="002776B0"/>
    <w:rsid w:val="002776C5"/>
    <w:rsid w:val="00277CAD"/>
    <w:rsid w:val="00277E31"/>
    <w:rsid w:val="00280332"/>
    <w:rsid w:val="0028296E"/>
    <w:rsid w:val="00283F4B"/>
    <w:rsid w:val="00286EB9"/>
    <w:rsid w:val="002879BC"/>
    <w:rsid w:val="0029011A"/>
    <w:rsid w:val="0029134C"/>
    <w:rsid w:val="002A0716"/>
    <w:rsid w:val="002A080C"/>
    <w:rsid w:val="002A21B5"/>
    <w:rsid w:val="002A5780"/>
    <w:rsid w:val="002A605B"/>
    <w:rsid w:val="002A6ADE"/>
    <w:rsid w:val="002A6B11"/>
    <w:rsid w:val="002A75EA"/>
    <w:rsid w:val="002B174D"/>
    <w:rsid w:val="002B18F0"/>
    <w:rsid w:val="002B19F4"/>
    <w:rsid w:val="002B1C30"/>
    <w:rsid w:val="002B2F02"/>
    <w:rsid w:val="002B2F64"/>
    <w:rsid w:val="002B4D52"/>
    <w:rsid w:val="002C0179"/>
    <w:rsid w:val="002C0244"/>
    <w:rsid w:val="002C0BF5"/>
    <w:rsid w:val="002C1945"/>
    <w:rsid w:val="002C5302"/>
    <w:rsid w:val="002C6564"/>
    <w:rsid w:val="002C7FA1"/>
    <w:rsid w:val="002D32DA"/>
    <w:rsid w:val="002D4103"/>
    <w:rsid w:val="002D418D"/>
    <w:rsid w:val="002D489D"/>
    <w:rsid w:val="002D4DDE"/>
    <w:rsid w:val="002D6C3A"/>
    <w:rsid w:val="002E2059"/>
    <w:rsid w:val="002E227C"/>
    <w:rsid w:val="002E3010"/>
    <w:rsid w:val="002E38B6"/>
    <w:rsid w:val="002E4997"/>
    <w:rsid w:val="002E4F94"/>
    <w:rsid w:val="002E5026"/>
    <w:rsid w:val="002F013C"/>
    <w:rsid w:val="002F0C8B"/>
    <w:rsid w:val="002F1385"/>
    <w:rsid w:val="002F19AC"/>
    <w:rsid w:val="002F1BD5"/>
    <w:rsid w:val="002F6805"/>
    <w:rsid w:val="00300D5D"/>
    <w:rsid w:val="00300F7C"/>
    <w:rsid w:val="003101DD"/>
    <w:rsid w:val="00311634"/>
    <w:rsid w:val="00316D17"/>
    <w:rsid w:val="0032124B"/>
    <w:rsid w:val="00322A6F"/>
    <w:rsid w:val="00326103"/>
    <w:rsid w:val="00326243"/>
    <w:rsid w:val="00326743"/>
    <w:rsid w:val="00326B8D"/>
    <w:rsid w:val="00326D61"/>
    <w:rsid w:val="003312C6"/>
    <w:rsid w:val="003319CD"/>
    <w:rsid w:val="00333207"/>
    <w:rsid w:val="00333E16"/>
    <w:rsid w:val="00334EFC"/>
    <w:rsid w:val="0033688C"/>
    <w:rsid w:val="00341177"/>
    <w:rsid w:val="003466DD"/>
    <w:rsid w:val="00347680"/>
    <w:rsid w:val="00347A02"/>
    <w:rsid w:val="0035011D"/>
    <w:rsid w:val="003513D1"/>
    <w:rsid w:val="00351A4A"/>
    <w:rsid w:val="00352D7A"/>
    <w:rsid w:val="00353AA3"/>
    <w:rsid w:val="00356819"/>
    <w:rsid w:val="00356AC7"/>
    <w:rsid w:val="00360852"/>
    <w:rsid w:val="003623F9"/>
    <w:rsid w:val="00364A57"/>
    <w:rsid w:val="00365F61"/>
    <w:rsid w:val="00366B77"/>
    <w:rsid w:val="00367C74"/>
    <w:rsid w:val="0037094C"/>
    <w:rsid w:val="00371FC8"/>
    <w:rsid w:val="00372884"/>
    <w:rsid w:val="00373276"/>
    <w:rsid w:val="00374038"/>
    <w:rsid w:val="00375C9F"/>
    <w:rsid w:val="00376007"/>
    <w:rsid w:val="00377752"/>
    <w:rsid w:val="003822F6"/>
    <w:rsid w:val="00382636"/>
    <w:rsid w:val="00395101"/>
    <w:rsid w:val="00395B74"/>
    <w:rsid w:val="003A017B"/>
    <w:rsid w:val="003A0B1D"/>
    <w:rsid w:val="003A521F"/>
    <w:rsid w:val="003A6708"/>
    <w:rsid w:val="003A73CA"/>
    <w:rsid w:val="003A763F"/>
    <w:rsid w:val="003B003D"/>
    <w:rsid w:val="003B1F6D"/>
    <w:rsid w:val="003B2326"/>
    <w:rsid w:val="003B3884"/>
    <w:rsid w:val="003C0FCD"/>
    <w:rsid w:val="003C1921"/>
    <w:rsid w:val="003C1C31"/>
    <w:rsid w:val="003C4841"/>
    <w:rsid w:val="003D0AC1"/>
    <w:rsid w:val="003D11D0"/>
    <w:rsid w:val="003D11EC"/>
    <w:rsid w:val="003D3BE7"/>
    <w:rsid w:val="003D40F0"/>
    <w:rsid w:val="003D5731"/>
    <w:rsid w:val="003D6206"/>
    <w:rsid w:val="003D6C1D"/>
    <w:rsid w:val="003E0BC6"/>
    <w:rsid w:val="003E1C99"/>
    <w:rsid w:val="003E275A"/>
    <w:rsid w:val="003E27E1"/>
    <w:rsid w:val="003E3EDA"/>
    <w:rsid w:val="003E7B70"/>
    <w:rsid w:val="003F1D53"/>
    <w:rsid w:val="003F329C"/>
    <w:rsid w:val="003F506B"/>
    <w:rsid w:val="003F6DA7"/>
    <w:rsid w:val="00402946"/>
    <w:rsid w:val="004036E5"/>
    <w:rsid w:val="004040E1"/>
    <w:rsid w:val="00414B50"/>
    <w:rsid w:val="0041598B"/>
    <w:rsid w:val="00420633"/>
    <w:rsid w:val="0042217B"/>
    <w:rsid w:val="00425BC3"/>
    <w:rsid w:val="00425D81"/>
    <w:rsid w:val="004262A7"/>
    <w:rsid w:val="00426928"/>
    <w:rsid w:val="00427A34"/>
    <w:rsid w:val="00432E9E"/>
    <w:rsid w:val="00432FB4"/>
    <w:rsid w:val="004349FF"/>
    <w:rsid w:val="00434F09"/>
    <w:rsid w:val="0043532E"/>
    <w:rsid w:val="0043639F"/>
    <w:rsid w:val="00436D87"/>
    <w:rsid w:val="00440FB6"/>
    <w:rsid w:val="00441F35"/>
    <w:rsid w:val="004422B4"/>
    <w:rsid w:val="00442F7D"/>
    <w:rsid w:val="004436A0"/>
    <w:rsid w:val="00444317"/>
    <w:rsid w:val="004458D0"/>
    <w:rsid w:val="00447132"/>
    <w:rsid w:val="004511CB"/>
    <w:rsid w:val="004521AB"/>
    <w:rsid w:val="004531B8"/>
    <w:rsid w:val="00461F2C"/>
    <w:rsid w:val="004624C0"/>
    <w:rsid w:val="004648A2"/>
    <w:rsid w:val="00466136"/>
    <w:rsid w:val="004715C0"/>
    <w:rsid w:val="00471AD4"/>
    <w:rsid w:val="0047336A"/>
    <w:rsid w:val="00474E19"/>
    <w:rsid w:val="00475D40"/>
    <w:rsid w:val="004761DE"/>
    <w:rsid w:val="00484054"/>
    <w:rsid w:val="00484EBD"/>
    <w:rsid w:val="004863DF"/>
    <w:rsid w:val="0048673B"/>
    <w:rsid w:val="0048789C"/>
    <w:rsid w:val="004918FF"/>
    <w:rsid w:val="004919C2"/>
    <w:rsid w:val="00493BC2"/>
    <w:rsid w:val="004951AC"/>
    <w:rsid w:val="004956D8"/>
    <w:rsid w:val="00496DF0"/>
    <w:rsid w:val="004A29C3"/>
    <w:rsid w:val="004A4788"/>
    <w:rsid w:val="004A5120"/>
    <w:rsid w:val="004B0DC3"/>
    <w:rsid w:val="004B258B"/>
    <w:rsid w:val="004B3755"/>
    <w:rsid w:val="004C00A3"/>
    <w:rsid w:val="004C00B0"/>
    <w:rsid w:val="004C15AF"/>
    <w:rsid w:val="004C2579"/>
    <w:rsid w:val="004D14E4"/>
    <w:rsid w:val="004D2A64"/>
    <w:rsid w:val="004D31A3"/>
    <w:rsid w:val="004D3A2E"/>
    <w:rsid w:val="004D3E02"/>
    <w:rsid w:val="004D5866"/>
    <w:rsid w:val="004D766E"/>
    <w:rsid w:val="004E0631"/>
    <w:rsid w:val="004E1716"/>
    <w:rsid w:val="004E3395"/>
    <w:rsid w:val="004E518C"/>
    <w:rsid w:val="004E5A3D"/>
    <w:rsid w:val="004E604B"/>
    <w:rsid w:val="004F5F7D"/>
    <w:rsid w:val="004F61A2"/>
    <w:rsid w:val="004F62DC"/>
    <w:rsid w:val="004F76DE"/>
    <w:rsid w:val="005011EF"/>
    <w:rsid w:val="005107DE"/>
    <w:rsid w:val="005112FC"/>
    <w:rsid w:val="0051152D"/>
    <w:rsid w:val="00511A9D"/>
    <w:rsid w:val="00513744"/>
    <w:rsid w:val="005144E0"/>
    <w:rsid w:val="00516FC7"/>
    <w:rsid w:val="00517149"/>
    <w:rsid w:val="005171F7"/>
    <w:rsid w:val="00520A30"/>
    <w:rsid w:val="00520C38"/>
    <w:rsid w:val="00521863"/>
    <w:rsid w:val="00527398"/>
    <w:rsid w:val="00530D13"/>
    <w:rsid w:val="00530D23"/>
    <w:rsid w:val="00540FB9"/>
    <w:rsid w:val="005429D4"/>
    <w:rsid w:val="005452E4"/>
    <w:rsid w:val="00551050"/>
    <w:rsid w:val="00553819"/>
    <w:rsid w:val="00553EC9"/>
    <w:rsid w:val="0055701D"/>
    <w:rsid w:val="005606DE"/>
    <w:rsid w:val="0056135D"/>
    <w:rsid w:val="0056183C"/>
    <w:rsid w:val="00561D5B"/>
    <w:rsid w:val="0056327F"/>
    <w:rsid w:val="00564EE3"/>
    <w:rsid w:val="00566092"/>
    <w:rsid w:val="00570741"/>
    <w:rsid w:val="00570E7A"/>
    <w:rsid w:val="00571003"/>
    <w:rsid w:val="00571151"/>
    <w:rsid w:val="0057175F"/>
    <w:rsid w:val="00577A26"/>
    <w:rsid w:val="00581D96"/>
    <w:rsid w:val="005821EA"/>
    <w:rsid w:val="00583141"/>
    <w:rsid w:val="00583ED6"/>
    <w:rsid w:val="0058487C"/>
    <w:rsid w:val="00584ABC"/>
    <w:rsid w:val="00585EB3"/>
    <w:rsid w:val="00587474"/>
    <w:rsid w:val="00587B43"/>
    <w:rsid w:val="00590471"/>
    <w:rsid w:val="00590593"/>
    <w:rsid w:val="00592D9B"/>
    <w:rsid w:val="00593207"/>
    <w:rsid w:val="00593766"/>
    <w:rsid w:val="00593939"/>
    <w:rsid w:val="00593C4F"/>
    <w:rsid w:val="005A0516"/>
    <w:rsid w:val="005A15AA"/>
    <w:rsid w:val="005A26CA"/>
    <w:rsid w:val="005A3C5A"/>
    <w:rsid w:val="005A3F58"/>
    <w:rsid w:val="005B009B"/>
    <w:rsid w:val="005B0DE5"/>
    <w:rsid w:val="005B0F2A"/>
    <w:rsid w:val="005B2E20"/>
    <w:rsid w:val="005B40F4"/>
    <w:rsid w:val="005B4790"/>
    <w:rsid w:val="005B4C00"/>
    <w:rsid w:val="005B7432"/>
    <w:rsid w:val="005B79AD"/>
    <w:rsid w:val="005C0105"/>
    <w:rsid w:val="005C3C42"/>
    <w:rsid w:val="005C4AA5"/>
    <w:rsid w:val="005C5674"/>
    <w:rsid w:val="005C5759"/>
    <w:rsid w:val="005C6B03"/>
    <w:rsid w:val="005D1827"/>
    <w:rsid w:val="005D3E2A"/>
    <w:rsid w:val="005D48C6"/>
    <w:rsid w:val="005D4C0A"/>
    <w:rsid w:val="005D4DA0"/>
    <w:rsid w:val="005D4ECB"/>
    <w:rsid w:val="005D6CD2"/>
    <w:rsid w:val="005E0F13"/>
    <w:rsid w:val="005E208D"/>
    <w:rsid w:val="005E3F9F"/>
    <w:rsid w:val="005E5A9E"/>
    <w:rsid w:val="005E757F"/>
    <w:rsid w:val="005F05F1"/>
    <w:rsid w:val="005F0D70"/>
    <w:rsid w:val="005F0D81"/>
    <w:rsid w:val="005F13F9"/>
    <w:rsid w:val="005F18F2"/>
    <w:rsid w:val="005F52BE"/>
    <w:rsid w:val="005F530C"/>
    <w:rsid w:val="005F56DE"/>
    <w:rsid w:val="005F57EF"/>
    <w:rsid w:val="005F6DAC"/>
    <w:rsid w:val="0060051A"/>
    <w:rsid w:val="00601E87"/>
    <w:rsid w:val="00603526"/>
    <w:rsid w:val="0060352F"/>
    <w:rsid w:val="00610782"/>
    <w:rsid w:val="00610F5D"/>
    <w:rsid w:val="006123E2"/>
    <w:rsid w:val="00612CF5"/>
    <w:rsid w:val="00614FAA"/>
    <w:rsid w:val="00615784"/>
    <w:rsid w:val="00616145"/>
    <w:rsid w:val="006162AA"/>
    <w:rsid w:val="00616CE2"/>
    <w:rsid w:val="00620CBA"/>
    <w:rsid w:val="006215D5"/>
    <w:rsid w:val="006219AA"/>
    <w:rsid w:val="00624085"/>
    <w:rsid w:val="00624DB1"/>
    <w:rsid w:val="00626398"/>
    <w:rsid w:val="00626F45"/>
    <w:rsid w:val="0063007C"/>
    <w:rsid w:val="006308D6"/>
    <w:rsid w:val="0063675F"/>
    <w:rsid w:val="00637683"/>
    <w:rsid w:val="006413F1"/>
    <w:rsid w:val="00641AA0"/>
    <w:rsid w:val="00641F48"/>
    <w:rsid w:val="006420F7"/>
    <w:rsid w:val="00642F86"/>
    <w:rsid w:val="006456A9"/>
    <w:rsid w:val="0064608D"/>
    <w:rsid w:val="0064615B"/>
    <w:rsid w:val="00650B96"/>
    <w:rsid w:val="006512D3"/>
    <w:rsid w:val="00652513"/>
    <w:rsid w:val="00652523"/>
    <w:rsid w:val="00652740"/>
    <w:rsid w:val="00653674"/>
    <w:rsid w:val="00654BD7"/>
    <w:rsid w:val="006553ED"/>
    <w:rsid w:val="00660D92"/>
    <w:rsid w:val="00665768"/>
    <w:rsid w:val="0066735F"/>
    <w:rsid w:val="00671A83"/>
    <w:rsid w:val="00675412"/>
    <w:rsid w:val="00675D36"/>
    <w:rsid w:val="006765CF"/>
    <w:rsid w:val="00680060"/>
    <w:rsid w:val="00684E94"/>
    <w:rsid w:val="00684EA0"/>
    <w:rsid w:val="0068580B"/>
    <w:rsid w:val="0069028B"/>
    <w:rsid w:val="00690ECA"/>
    <w:rsid w:val="00691399"/>
    <w:rsid w:val="006920E6"/>
    <w:rsid w:val="006928A3"/>
    <w:rsid w:val="00693240"/>
    <w:rsid w:val="00693799"/>
    <w:rsid w:val="00694C77"/>
    <w:rsid w:val="006952F0"/>
    <w:rsid w:val="00695C61"/>
    <w:rsid w:val="00695FC2"/>
    <w:rsid w:val="006A1960"/>
    <w:rsid w:val="006A3E5B"/>
    <w:rsid w:val="006A43C8"/>
    <w:rsid w:val="006B1486"/>
    <w:rsid w:val="006B1A61"/>
    <w:rsid w:val="006B2AA5"/>
    <w:rsid w:val="006B520D"/>
    <w:rsid w:val="006B6EC5"/>
    <w:rsid w:val="006C2E65"/>
    <w:rsid w:val="006C33EA"/>
    <w:rsid w:val="006C37AF"/>
    <w:rsid w:val="006C38D6"/>
    <w:rsid w:val="006C3D3D"/>
    <w:rsid w:val="006C6458"/>
    <w:rsid w:val="006C6DED"/>
    <w:rsid w:val="006C6E45"/>
    <w:rsid w:val="006C74CE"/>
    <w:rsid w:val="006D0841"/>
    <w:rsid w:val="006D10BA"/>
    <w:rsid w:val="006D1B21"/>
    <w:rsid w:val="006D22DB"/>
    <w:rsid w:val="006D2F0D"/>
    <w:rsid w:val="006D7AA4"/>
    <w:rsid w:val="006E3C3E"/>
    <w:rsid w:val="006F5A28"/>
    <w:rsid w:val="006F604C"/>
    <w:rsid w:val="00700456"/>
    <w:rsid w:val="007031B3"/>
    <w:rsid w:val="00703832"/>
    <w:rsid w:val="0070422C"/>
    <w:rsid w:val="00704274"/>
    <w:rsid w:val="007050CC"/>
    <w:rsid w:val="00706FA6"/>
    <w:rsid w:val="00711E6B"/>
    <w:rsid w:val="00712488"/>
    <w:rsid w:val="0071274F"/>
    <w:rsid w:val="00713886"/>
    <w:rsid w:val="007173BA"/>
    <w:rsid w:val="00717459"/>
    <w:rsid w:val="007208C9"/>
    <w:rsid w:val="007210B7"/>
    <w:rsid w:val="00723E53"/>
    <w:rsid w:val="0072431F"/>
    <w:rsid w:val="00724831"/>
    <w:rsid w:val="00725B17"/>
    <w:rsid w:val="0073114E"/>
    <w:rsid w:val="007319CF"/>
    <w:rsid w:val="00732075"/>
    <w:rsid w:val="00732EFF"/>
    <w:rsid w:val="00733E72"/>
    <w:rsid w:val="00734DB5"/>
    <w:rsid w:val="00737EC5"/>
    <w:rsid w:val="00740160"/>
    <w:rsid w:val="00741E7E"/>
    <w:rsid w:val="00742550"/>
    <w:rsid w:val="00745DD8"/>
    <w:rsid w:val="00750CD4"/>
    <w:rsid w:val="00752F15"/>
    <w:rsid w:val="0075658A"/>
    <w:rsid w:val="007567F8"/>
    <w:rsid w:val="00757820"/>
    <w:rsid w:val="00760ABD"/>
    <w:rsid w:val="007623BB"/>
    <w:rsid w:val="007647A2"/>
    <w:rsid w:val="007647CA"/>
    <w:rsid w:val="00764B97"/>
    <w:rsid w:val="0076520A"/>
    <w:rsid w:val="00766FBD"/>
    <w:rsid w:val="00767449"/>
    <w:rsid w:val="007675E1"/>
    <w:rsid w:val="00770F3F"/>
    <w:rsid w:val="0077148E"/>
    <w:rsid w:val="00772AB1"/>
    <w:rsid w:val="00773003"/>
    <w:rsid w:val="00776179"/>
    <w:rsid w:val="007774E0"/>
    <w:rsid w:val="007779F8"/>
    <w:rsid w:val="00777F39"/>
    <w:rsid w:val="00780BD0"/>
    <w:rsid w:val="00780DD8"/>
    <w:rsid w:val="00781050"/>
    <w:rsid w:val="00782FB3"/>
    <w:rsid w:val="007867FD"/>
    <w:rsid w:val="00787912"/>
    <w:rsid w:val="0079087F"/>
    <w:rsid w:val="007911FA"/>
    <w:rsid w:val="00793E07"/>
    <w:rsid w:val="00794C7B"/>
    <w:rsid w:val="007977FF"/>
    <w:rsid w:val="007A2093"/>
    <w:rsid w:val="007A2273"/>
    <w:rsid w:val="007A2404"/>
    <w:rsid w:val="007A44DB"/>
    <w:rsid w:val="007B10F2"/>
    <w:rsid w:val="007B2EE5"/>
    <w:rsid w:val="007B3AC8"/>
    <w:rsid w:val="007B45A5"/>
    <w:rsid w:val="007B7D24"/>
    <w:rsid w:val="007C1627"/>
    <w:rsid w:val="007C2CDA"/>
    <w:rsid w:val="007C3704"/>
    <w:rsid w:val="007D211A"/>
    <w:rsid w:val="007D4373"/>
    <w:rsid w:val="007D617B"/>
    <w:rsid w:val="007D73B3"/>
    <w:rsid w:val="007E1900"/>
    <w:rsid w:val="007E39C2"/>
    <w:rsid w:val="007E6411"/>
    <w:rsid w:val="007E6ABB"/>
    <w:rsid w:val="007E7005"/>
    <w:rsid w:val="007F00DD"/>
    <w:rsid w:val="007F07E2"/>
    <w:rsid w:val="007F1F6F"/>
    <w:rsid w:val="007F27C0"/>
    <w:rsid w:val="007F4F20"/>
    <w:rsid w:val="007F6001"/>
    <w:rsid w:val="007F6C83"/>
    <w:rsid w:val="00804169"/>
    <w:rsid w:val="00807AAF"/>
    <w:rsid w:val="008150C3"/>
    <w:rsid w:val="00815E1D"/>
    <w:rsid w:val="00817C6B"/>
    <w:rsid w:val="00821D97"/>
    <w:rsid w:val="00821F29"/>
    <w:rsid w:val="00822561"/>
    <w:rsid w:val="00823CA9"/>
    <w:rsid w:val="00825B2F"/>
    <w:rsid w:val="00827906"/>
    <w:rsid w:val="00836C8E"/>
    <w:rsid w:val="00841E23"/>
    <w:rsid w:val="00843283"/>
    <w:rsid w:val="008438CF"/>
    <w:rsid w:val="00843937"/>
    <w:rsid w:val="00844363"/>
    <w:rsid w:val="00845226"/>
    <w:rsid w:val="00850357"/>
    <w:rsid w:val="00855F75"/>
    <w:rsid w:val="0085656E"/>
    <w:rsid w:val="00856AC2"/>
    <w:rsid w:val="00857700"/>
    <w:rsid w:val="00860274"/>
    <w:rsid w:val="008619EC"/>
    <w:rsid w:val="00864AB2"/>
    <w:rsid w:val="0086511D"/>
    <w:rsid w:val="00865A13"/>
    <w:rsid w:val="00866290"/>
    <w:rsid w:val="00867FD9"/>
    <w:rsid w:val="00870FE7"/>
    <w:rsid w:val="008733A4"/>
    <w:rsid w:val="00873829"/>
    <w:rsid w:val="00874025"/>
    <w:rsid w:val="00875D80"/>
    <w:rsid w:val="0087757E"/>
    <w:rsid w:val="00880F63"/>
    <w:rsid w:val="0088273D"/>
    <w:rsid w:val="00883142"/>
    <w:rsid w:val="00884A09"/>
    <w:rsid w:val="00885C9E"/>
    <w:rsid w:val="00886248"/>
    <w:rsid w:val="00886CC7"/>
    <w:rsid w:val="00887DD1"/>
    <w:rsid w:val="00891ACB"/>
    <w:rsid w:val="00893DBC"/>
    <w:rsid w:val="00897966"/>
    <w:rsid w:val="008A0F40"/>
    <w:rsid w:val="008A19AC"/>
    <w:rsid w:val="008A230A"/>
    <w:rsid w:val="008A31D8"/>
    <w:rsid w:val="008A42BD"/>
    <w:rsid w:val="008B04E8"/>
    <w:rsid w:val="008B0BB2"/>
    <w:rsid w:val="008B2B42"/>
    <w:rsid w:val="008B316C"/>
    <w:rsid w:val="008B51AF"/>
    <w:rsid w:val="008C2699"/>
    <w:rsid w:val="008C28F9"/>
    <w:rsid w:val="008C2E7F"/>
    <w:rsid w:val="008C3B4E"/>
    <w:rsid w:val="008C4271"/>
    <w:rsid w:val="008C4E03"/>
    <w:rsid w:val="008C7105"/>
    <w:rsid w:val="008D1A7B"/>
    <w:rsid w:val="008D23A6"/>
    <w:rsid w:val="008D3856"/>
    <w:rsid w:val="008D4ACB"/>
    <w:rsid w:val="008D598F"/>
    <w:rsid w:val="008D7AC1"/>
    <w:rsid w:val="008E0E71"/>
    <w:rsid w:val="008E10A8"/>
    <w:rsid w:val="008E1835"/>
    <w:rsid w:val="008E31E2"/>
    <w:rsid w:val="008E5052"/>
    <w:rsid w:val="008E556B"/>
    <w:rsid w:val="008E5BE4"/>
    <w:rsid w:val="008E63AB"/>
    <w:rsid w:val="008E65B2"/>
    <w:rsid w:val="008F06C2"/>
    <w:rsid w:val="008F0C5D"/>
    <w:rsid w:val="008F2714"/>
    <w:rsid w:val="008F37A5"/>
    <w:rsid w:val="008F385B"/>
    <w:rsid w:val="008F4912"/>
    <w:rsid w:val="008F4A26"/>
    <w:rsid w:val="008F4C7D"/>
    <w:rsid w:val="008F62B1"/>
    <w:rsid w:val="008F6B30"/>
    <w:rsid w:val="009003AA"/>
    <w:rsid w:val="00906948"/>
    <w:rsid w:val="00910D56"/>
    <w:rsid w:val="00913335"/>
    <w:rsid w:val="009157FB"/>
    <w:rsid w:val="009162B6"/>
    <w:rsid w:val="00916CEC"/>
    <w:rsid w:val="0091723C"/>
    <w:rsid w:val="009178C1"/>
    <w:rsid w:val="00917E7E"/>
    <w:rsid w:val="00923775"/>
    <w:rsid w:val="009239F9"/>
    <w:rsid w:val="00926EA9"/>
    <w:rsid w:val="00935301"/>
    <w:rsid w:val="00937C4F"/>
    <w:rsid w:val="009400BE"/>
    <w:rsid w:val="009413C4"/>
    <w:rsid w:val="0094301C"/>
    <w:rsid w:val="009436BA"/>
    <w:rsid w:val="0094422A"/>
    <w:rsid w:val="0094518A"/>
    <w:rsid w:val="00945F80"/>
    <w:rsid w:val="0094669D"/>
    <w:rsid w:val="009504AC"/>
    <w:rsid w:val="00953C0D"/>
    <w:rsid w:val="00954654"/>
    <w:rsid w:val="00954F62"/>
    <w:rsid w:val="00955AA8"/>
    <w:rsid w:val="00957221"/>
    <w:rsid w:val="00957DC5"/>
    <w:rsid w:val="00957F02"/>
    <w:rsid w:val="0096252D"/>
    <w:rsid w:val="0096270D"/>
    <w:rsid w:val="0096291C"/>
    <w:rsid w:val="009668AE"/>
    <w:rsid w:val="009676E3"/>
    <w:rsid w:val="00971A2D"/>
    <w:rsid w:val="00972A38"/>
    <w:rsid w:val="00972C7D"/>
    <w:rsid w:val="009734A6"/>
    <w:rsid w:val="0097373E"/>
    <w:rsid w:val="00973EFB"/>
    <w:rsid w:val="009806B7"/>
    <w:rsid w:val="00980F18"/>
    <w:rsid w:val="009854DF"/>
    <w:rsid w:val="009859D1"/>
    <w:rsid w:val="00987561"/>
    <w:rsid w:val="00990299"/>
    <w:rsid w:val="00993471"/>
    <w:rsid w:val="00995BF6"/>
    <w:rsid w:val="00996445"/>
    <w:rsid w:val="00996668"/>
    <w:rsid w:val="0099755E"/>
    <w:rsid w:val="009A13F3"/>
    <w:rsid w:val="009A141E"/>
    <w:rsid w:val="009A1A44"/>
    <w:rsid w:val="009A34DA"/>
    <w:rsid w:val="009A393F"/>
    <w:rsid w:val="009A5C6D"/>
    <w:rsid w:val="009A76B9"/>
    <w:rsid w:val="009B0BA7"/>
    <w:rsid w:val="009B36CE"/>
    <w:rsid w:val="009B4BC7"/>
    <w:rsid w:val="009B6053"/>
    <w:rsid w:val="009B7A98"/>
    <w:rsid w:val="009C0B64"/>
    <w:rsid w:val="009C1310"/>
    <w:rsid w:val="009C4DAF"/>
    <w:rsid w:val="009C4DEF"/>
    <w:rsid w:val="009C795C"/>
    <w:rsid w:val="009D01B4"/>
    <w:rsid w:val="009D01D5"/>
    <w:rsid w:val="009D173B"/>
    <w:rsid w:val="009D2EC6"/>
    <w:rsid w:val="009D372C"/>
    <w:rsid w:val="009D4B30"/>
    <w:rsid w:val="009D5488"/>
    <w:rsid w:val="009D7CD9"/>
    <w:rsid w:val="009E02BF"/>
    <w:rsid w:val="009E14D2"/>
    <w:rsid w:val="009E1736"/>
    <w:rsid w:val="009E1D4F"/>
    <w:rsid w:val="009E20EB"/>
    <w:rsid w:val="009E2E5F"/>
    <w:rsid w:val="009E4090"/>
    <w:rsid w:val="009E4180"/>
    <w:rsid w:val="009E60DF"/>
    <w:rsid w:val="009F0CCA"/>
    <w:rsid w:val="009F1B44"/>
    <w:rsid w:val="009F4B96"/>
    <w:rsid w:val="009F54C8"/>
    <w:rsid w:val="009F6E55"/>
    <w:rsid w:val="009F739D"/>
    <w:rsid w:val="00A0050C"/>
    <w:rsid w:val="00A01417"/>
    <w:rsid w:val="00A01469"/>
    <w:rsid w:val="00A058E0"/>
    <w:rsid w:val="00A111CB"/>
    <w:rsid w:val="00A12BE2"/>
    <w:rsid w:val="00A14F90"/>
    <w:rsid w:val="00A15DC7"/>
    <w:rsid w:val="00A160F1"/>
    <w:rsid w:val="00A22ED8"/>
    <w:rsid w:val="00A23ABA"/>
    <w:rsid w:val="00A24017"/>
    <w:rsid w:val="00A25E22"/>
    <w:rsid w:val="00A262EF"/>
    <w:rsid w:val="00A26D33"/>
    <w:rsid w:val="00A367D9"/>
    <w:rsid w:val="00A3709A"/>
    <w:rsid w:val="00A40069"/>
    <w:rsid w:val="00A44DF2"/>
    <w:rsid w:val="00A465BA"/>
    <w:rsid w:val="00A46FEE"/>
    <w:rsid w:val="00A52A47"/>
    <w:rsid w:val="00A54112"/>
    <w:rsid w:val="00A56B59"/>
    <w:rsid w:val="00A5740F"/>
    <w:rsid w:val="00A575FE"/>
    <w:rsid w:val="00A61F9C"/>
    <w:rsid w:val="00A6326A"/>
    <w:rsid w:val="00A63E5C"/>
    <w:rsid w:val="00A64871"/>
    <w:rsid w:val="00A65310"/>
    <w:rsid w:val="00A72168"/>
    <w:rsid w:val="00A7233F"/>
    <w:rsid w:val="00A72F36"/>
    <w:rsid w:val="00A74BD1"/>
    <w:rsid w:val="00A770E0"/>
    <w:rsid w:val="00A80C0B"/>
    <w:rsid w:val="00A813B5"/>
    <w:rsid w:val="00A81574"/>
    <w:rsid w:val="00A828DD"/>
    <w:rsid w:val="00A833EC"/>
    <w:rsid w:val="00A83B0C"/>
    <w:rsid w:val="00A841E9"/>
    <w:rsid w:val="00A84F2B"/>
    <w:rsid w:val="00A86D3F"/>
    <w:rsid w:val="00A87E40"/>
    <w:rsid w:val="00A90A55"/>
    <w:rsid w:val="00A92587"/>
    <w:rsid w:val="00A931EF"/>
    <w:rsid w:val="00A94C56"/>
    <w:rsid w:val="00AA15C5"/>
    <w:rsid w:val="00AA160A"/>
    <w:rsid w:val="00AA1A57"/>
    <w:rsid w:val="00AA79E9"/>
    <w:rsid w:val="00AB2056"/>
    <w:rsid w:val="00AB21D2"/>
    <w:rsid w:val="00AB5776"/>
    <w:rsid w:val="00AC2924"/>
    <w:rsid w:val="00AC2F1A"/>
    <w:rsid w:val="00AC38C7"/>
    <w:rsid w:val="00AC3CD0"/>
    <w:rsid w:val="00AC4EBC"/>
    <w:rsid w:val="00AD0C30"/>
    <w:rsid w:val="00AD1087"/>
    <w:rsid w:val="00AD1DC3"/>
    <w:rsid w:val="00AD2F70"/>
    <w:rsid w:val="00AD3589"/>
    <w:rsid w:val="00AD474D"/>
    <w:rsid w:val="00AD4F5D"/>
    <w:rsid w:val="00AD5B6D"/>
    <w:rsid w:val="00AE03CA"/>
    <w:rsid w:val="00AE0BA1"/>
    <w:rsid w:val="00AE1A5E"/>
    <w:rsid w:val="00AE1C55"/>
    <w:rsid w:val="00AE27BF"/>
    <w:rsid w:val="00AE2D67"/>
    <w:rsid w:val="00AE4713"/>
    <w:rsid w:val="00AE501D"/>
    <w:rsid w:val="00AE6316"/>
    <w:rsid w:val="00AE6D14"/>
    <w:rsid w:val="00AF0A1F"/>
    <w:rsid w:val="00AF38AC"/>
    <w:rsid w:val="00AF3DFC"/>
    <w:rsid w:val="00AF4C73"/>
    <w:rsid w:val="00AF5CD1"/>
    <w:rsid w:val="00B008F6"/>
    <w:rsid w:val="00B013A7"/>
    <w:rsid w:val="00B0181B"/>
    <w:rsid w:val="00B01AEF"/>
    <w:rsid w:val="00B021D0"/>
    <w:rsid w:val="00B023DB"/>
    <w:rsid w:val="00B039BB"/>
    <w:rsid w:val="00B05289"/>
    <w:rsid w:val="00B06FCF"/>
    <w:rsid w:val="00B1010D"/>
    <w:rsid w:val="00B106D1"/>
    <w:rsid w:val="00B15E54"/>
    <w:rsid w:val="00B16B1D"/>
    <w:rsid w:val="00B21123"/>
    <w:rsid w:val="00B21144"/>
    <w:rsid w:val="00B2243A"/>
    <w:rsid w:val="00B26905"/>
    <w:rsid w:val="00B2707E"/>
    <w:rsid w:val="00B30C12"/>
    <w:rsid w:val="00B324E5"/>
    <w:rsid w:val="00B3445E"/>
    <w:rsid w:val="00B356A0"/>
    <w:rsid w:val="00B37BAC"/>
    <w:rsid w:val="00B40B9F"/>
    <w:rsid w:val="00B42922"/>
    <w:rsid w:val="00B43EF5"/>
    <w:rsid w:val="00B501EB"/>
    <w:rsid w:val="00B50314"/>
    <w:rsid w:val="00B5255B"/>
    <w:rsid w:val="00B53372"/>
    <w:rsid w:val="00B53FA9"/>
    <w:rsid w:val="00B563A8"/>
    <w:rsid w:val="00B62EDA"/>
    <w:rsid w:val="00B65301"/>
    <w:rsid w:val="00B775C6"/>
    <w:rsid w:val="00B81EDB"/>
    <w:rsid w:val="00B876A2"/>
    <w:rsid w:val="00B90A38"/>
    <w:rsid w:val="00B921C1"/>
    <w:rsid w:val="00B938C3"/>
    <w:rsid w:val="00B94480"/>
    <w:rsid w:val="00B9449A"/>
    <w:rsid w:val="00B94AAC"/>
    <w:rsid w:val="00B961C9"/>
    <w:rsid w:val="00B968B2"/>
    <w:rsid w:val="00BA4586"/>
    <w:rsid w:val="00BA4DD2"/>
    <w:rsid w:val="00BA5ADD"/>
    <w:rsid w:val="00BA7E32"/>
    <w:rsid w:val="00BB0A4D"/>
    <w:rsid w:val="00BB1973"/>
    <w:rsid w:val="00BB1F1D"/>
    <w:rsid w:val="00BB494B"/>
    <w:rsid w:val="00BB7423"/>
    <w:rsid w:val="00BC16D0"/>
    <w:rsid w:val="00BC1E52"/>
    <w:rsid w:val="00BC48C5"/>
    <w:rsid w:val="00BD0AB3"/>
    <w:rsid w:val="00BD1D80"/>
    <w:rsid w:val="00BD272C"/>
    <w:rsid w:val="00BE1BC8"/>
    <w:rsid w:val="00BE1BD7"/>
    <w:rsid w:val="00BE66BD"/>
    <w:rsid w:val="00BE6AE0"/>
    <w:rsid w:val="00BE7170"/>
    <w:rsid w:val="00BF2A53"/>
    <w:rsid w:val="00BF6543"/>
    <w:rsid w:val="00C01333"/>
    <w:rsid w:val="00C02422"/>
    <w:rsid w:val="00C045B8"/>
    <w:rsid w:val="00C06B36"/>
    <w:rsid w:val="00C14C35"/>
    <w:rsid w:val="00C175FD"/>
    <w:rsid w:val="00C17B20"/>
    <w:rsid w:val="00C2082C"/>
    <w:rsid w:val="00C2195E"/>
    <w:rsid w:val="00C229D9"/>
    <w:rsid w:val="00C232A9"/>
    <w:rsid w:val="00C23C68"/>
    <w:rsid w:val="00C23D88"/>
    <w:rsid w:val="00C24035"/>
    <w:rsid w:val="00C2776D"/>
    <w:rsid w:val="00C31A64"/>
    <w:rsid w:val="00C31CF2"/>
    <w:rsid w:val="00C32DBE"/>
    <w:rsid w:val="00C337B3"/>
    <w:rsid w:val="00C34141"/>
    <w:rsid w:val="00C34EF7"/>
    <w:rsid w:val="00C35B7F"/>
    <w:rsid w:val="00C36D6A"/>
    <w:rsid w:val="00C37997"/>
    <w:rsid w:val="00C40613"/>
    <w:rsid w:val="00C4094D"/>
    <w:rsid w:val="00C40C52"/>
    <w:rsid w:val="00C43703"/>
    <w:rsid w:val="00C44775"/>
    <w:rsid w:val="00C47327"/>
    <w:rsid w:val="00C479CA"/>
    <w:rsid w:val="00C47E69"/>
    <w:rsid w:val="00C5106A"/>
    <w:rsid w:val="00C51287"/>
    <w:rsid w:val="00C52A24"/>
    <w:rsid w:val="00C52B1B"/>
    <w:rsid w:val="00C52F50"/>
    <w:rsid w:val="00C54D23"/>
    <w:rsid w:val="00C55424"/>
    <w:rsid w:val="00C568E3"/>
    <w:rsid w:val="00C5717A"/>
    <w:rsid w:val="00C619DB"/>
    <w:rsid w:val="00C62168"/>
    <w:rsid w:val="00C62A1A"/>
    <w:rsid w:val="00C63FC2"/>
    <w:rsid w:val="00C676ED"/>
    <w:rsid w:val="00C679F9"/>
    <w:rsid w:val="00C71999"/>
    <w:rsid w:val="00C71CA4"/>
    <w:rsid w:val="00C75092"/>
    <w:rsid w:val="00C751EC"/>
    <w:rsid w:val="00C829A7"/>
    <w:rsid w:val="00C85597"/>
    <w:rsid w:val="00C8661E"/>
    <w:rsid w:val="00C8681D"/>
    <w:rsid w:val="00C86BD6"/>
    <w:rsid w:val="00C91E74"/>
    <w:rsid w:val="00C92231"/>
    <w:rsid w:val="00C9227F"/>
    <w:rsid w:val="00CA0CF9"/>
    <w:rsid w:val="00CA167D"/>
    <w:rsid w:val="00CA6D56"/>
    <w:rsid w:val="00CA76F5"/>
    <w:rsid w:val="00CB0589"/>
    <w:rsid w:val="00CB23B5"/>
    <w:rsid w:val="00CB268B"/>
    <w:rsid w:val="00CB2974"/>
    <w:rsid w:val="00CC1037"/>
    <w:rsid w:val="00CC2A17"/>
    <w:rsid w:val="00CC41D7"/>
    <w:rsid w:val="00CD1E70"/>
    <w:rsid w:val="00CD38AF"/>
    <w:rsid w:val="00CD71BB"/>
    <w:rsid w:val="00CE0C14"/>
    <w:rsid w:val="00CE0DBE"/>
    <w:rsid w:val="00CE4BF9"/>
    <w:rsid w:val="00CE7E16"/>
    <w:rsid w:val="00CF04A5"/>
    <w:rsid w:val="00CF21C7"/>
    <w:rsid w:val="00CF797B"/>
    <w:rsid w:val="00D00771"/>
    <w:rsid w:val="00D01387"/>
    <w:rsid w:val="00D0256D"/>
    <w:rsid w:val="00D02EBC"/>
    <w:rsid w:val="00D03B7F"/>
    <w:rsid w:val="00D04718"/>
    <w:rsid w:val="00D075D6"/>
    <w:rsid w:val="00D104F2"/>
    <w:rsid w:val="00D1300E"/>
    <w:rsid w:val="00D13D72"/>
    <w:rsid w:val="00D146E3"/>
    <w:rsid w:val="00D14A97"/>
    <w:rsid w:val="00D16301"/>
    <w:rsid w:val="00D17904"/>
    <w:rsid w:val="00D17ADC"/>
    <w:rsid w:val="00D205BD"/>
    <w:rsid w:val="00D20BAF"/>
    <w:rsid w:val="00D223EA"/>
    <w:rsid w:val="00D25F8C"/>
    <w:rsid w:val="00D27894"/>
    <w:rsid w:val="00D331E1"/>
    <w:rsid w:val="00D3332F"/>
    <w:rsid w:val="00D34D18"/>
    <w:rsid w:val="00D3739C"/>
    <w:rsid w:val="00D438E0"/>
    <w:rsid w:val="00D43D9C"/>
    <w:rsid w:val="00D46BEB"/>
    <w:rsid w:val="00D5093B"/>
    <w:rsid w:val="00D50ED0"/>
    <w:rsid w:val="00D51169"/>
    <w:rsid w:val="00D51728"/>
    <w:rsid w:val="00D554EC"/>
    <w:rsid w:val="00D60246"/>
    <w:rsid w:val="00D6057D"/>
    <w:rsid w:val="00D618F9"/>
    <w:rsid w:val="00D61988"/>
    <w:rsid w:val="00D61A21"/>
    <w:rsid w:val="00D658DD"/>
    <w:rsid w:val="00D65DF9"/>
    <w:rsid w:val="00D66DF7"/>
    <w:rsid w:val="00D672F9"/>
    <w:rsid w:val="00D73370"/>
    <w:rsid w:val="00D73DF3"/>
    <w:rsid w:val="00D73E1C"/>
    <w:rsid w:val="00D74238"/>
    <w:rsid w:val="00D7478E"/>
    <w:rsid w:val="00D74D70"/>
    <w:rsid w:val="00D75869"/>
    <w:rsid w:val="00D77750"/>
    <w:rsid w:val="00D80AFD"/>
    <w:rsid w:val="00D8360B"/>
    <w:rsid w:val="00D87353"/>
    <w:rsid w:val="00D87792"/>
    <w:rsid w:val="00D87CB4"/>
    <w:rsid w:val="00D90346"/>
    <w:rsid w:val="00D90400"/>
    <w:rsid w:val="00D90657"/>
    <w:rsid w:val="00D90659"/>
    <w:rsid w:val="00D93EB5"/>
    <w:rsid w:val="00D95600"/>
    <w:rsid w:val="00D95B27"/>
    <w:rsid w:val="00DA033C"/>
    <w:rsid w:val="00DA0A7C"/>
    <w:rsid w:val="00DA10E1"/>
    <w:rsid w:val="00DA52B5"/>
    <w:rsid w:val="00DA6605"/>
    <w:rsid w:val="00DA7A33"/>
    <w:rsid w:val="00DB1853"/>
    <w:rsid w:val="00DB2DC5"/>
    <w:rsid w:val="00DB3F7A"/>
    <w:rsid w:val="00DC4114"/>
    <w:rsid w:val="00DC4817"/>
    <w:rsid w:val="00DC4964"/>
    <w:rsid w:val="00DC5883"/>
    <w:rsid w:val="00DC5B7B"/>
    <w:rsid w:val="00DC7B1F"/>
    <w:rsid w:val="00DD042E"/>
    <w:rsid w:val="00DD22D9"/>
    <w:rsid w:val="00DD3660"/>
    <w:rsid w:val="00DD4FB3"/>
    <w:rsid w:val="00DD54CE"/>
    <w:rsid w:val="00DD6570"/>
    <w:rsid w:val="00DD6ABD"/>
    <w:rsid w:val="00DE2112"/>
    <w:rsid w:val="00DE2DCC"/>
    <w:rsid w:val="00DF0306"/>
    <w:rsid w:val="00DF2793"/>
    <w:rsid w:val="00DF2A4C"/>
    <w:rsid w:val="00E03A45"/>
    <w:rsid w:val="00E04106"/>
    <w:rsid w:val="00E04C27"/>
    <w:rsid w:val="00E05FA1"/>
    <w:rsid w:val="00E07716"/>
    <w:rsid w:val="00E127F0"/>
    <w:rsid w:val="00E12A62"/>
    <w:rsid w:val="00E13CAB"/>
    <w:rsid w:val="00E143C0"/>
    <w:rsid w:val="00E162A7"/>
    <w:rsid w:val="00E2162C"/>
    <w:rsid w:val="00E22327"/>
    <w:rsid w:val="00E25BC1"/>
    <w:rsid w:val="00E26159"/>
    <w:rsid w:val="00E26B2B"/>
    <w:rsid w:val="00E30279"/>
    <w:rsid w:val="00E30D94"/>
    <w:rsid w:val="00E33C59"/>
    <w:rsid w:val="00E34FB0"/>
    <w:rsid w:val="00E37ED1"/>
    <w:rsid w:val="00E44792"/>
    <w:rsid w:val="00E45A79"/>
    <w:rsid w:val="00E50BBA"/>
    <w:rsid w:val="00E52DE2"/>
    <w:rsid w:val="00E552EE"/>
    <w:rsid w:val="00E56471"/>
    <w:rsid w:val="00E565B8"/>
    <w:rsid w:val="00E60E0C"/>
    <w:rsid w:val="00E64814"/>
    <w:rsid w:val="00E64968"/>
    <w:rsid w:val="00E64D35"/>
    <w:rsid w:val="00E656F5"/>
    <w:rsid w:val="00E70E07"/>
    <w:rsid w:val="00E7254D"/>
    <w:rsid w:val="00E72D4C"/>
    <w:rsid w:val="00E779A4"/>
    <w:rsid w:val="00E8168A"/>
    <w:rsid w:val="00E84ED0"/>
    <w:rsid w:val="00E85A03"/>
    <w:rsid w:val="00E85CF0"/>
    <w:rsid w:val="00E87235"/>
    <w:rsid w:val="00E90BD3"/>
    <w:rsid w:val="00E97B10"/>
    <w:rsid w:val="00EA0068"/>
    <w:rsid w:val="00EA0187"/>
    <w:rsid w:val="00EA138C"/>
    <w:rsid w:val="00EA36E8"/>
    <w:rsid w:val="00EA45FB"/>
    <w:rsid w:val="00EA52D0"/>
    <w:rsid w:val="00EA5846"/>
    <w:rsid w:val="00EA5880"/>
    <w:rsid w:val="00EB01A0"/>
    <w:rsid w:val="00EB08A4"/>
    <w:rsid w:val="00EB0D0E"/>
    <w:rsid w:val="00EB0E7A"/>
    <w:rsid w:val="00EB1F6A"/>
    <w:rsid w:val="00EB2F44"/>
    <w:rsid w:val="00EB3F0A"/>
    <w:rsid w:val="00EB47E6"/>
    <w:rsid w:val="00EB4F7A"/>
    <w:rsid w:val="00EB6CEC"/>
    <w:rsid w:val="00EC0AED"/>
    <w:rsid w:val="00EC47D1"/>
    <w:rsid w:val="00EC4D83"/>
    <w:rsid w:val="00EC53D6"/>
    <w:rsid w:val="00EC6102"/>
    <w:rsid w:val="00EC6A93"/>
    <w:rsid w:val="00EC6BA7"/>
    <w:rsid w:val="00EC7C3F"/>
    <w:rsid w:val="00ED17CA"/>
    <w:rsid w:val="00ED31A6"/>
    <w:rsid w:val="00ED437A"/>
    <w:rsid w:val="00ED5A2A"/>
    <w:rsid w:val="00EE21DE"/>
    <w:rsid w:val="00EF04B5"/>
    <w:rsid w:val="00EF14BC"/>
    <w:rsid w:val="00EF4B1A"/>
    <w:rsid w:val="00EF60F6"/>
    <w:rsid w:val="00EF6EE5"/>
    <w:rsid w:val="00F03F19"/>
    <w:rsid w:val="00F040E3"/>
    <w:rsid w:val="00F06A4C"/>
    <w:rsid w:val="00F07BD5"/>
    <w:rsid w:val="00F10586"/>
    <w:rsid w:val="00F107DC"/>
    <w:rsid w:val="00F11CBC"/>
    <w:rsid w:val="00F11EF8"/>
    <w:rsid w:val="00F13137"/>
    <w:rsid w:val="00F1392C"/>
    <w:rsid w:val="00F15754"/>
    <w:rsid w:val="00F15A40"/>
    <w:rsid w:val="00F17538"/>
    <w:rsid w:val="00F17F8B"/>
    <w:rsid w:val="00F203DD"/>
    <w:rsid w:val="00F20C1F"/>
    <w:rsid w:val="00F23454"/>
    <w:rsid w:val="00F2347A"/>
    <w:rsid w:val="00F23E83"/>
    <w:rsid w:val="00F27DA1"/>
    <w:rsid w:val="00F34061"/>
    <w:rsid w:val="00F34A1D"/>
    <w:rsid w:val="00F3592C"/>
    <w:rsid w:val="00F36A03"/>
    <w:rsid w:val="00F4139F"/>
    <w:rsid w:val="00F42614"/>
    <w:rsid w:val="00F42B36"/>
    <w:rsid w:val="00F445A2"/>
    <w:rsid w:val="00F45049"/>
    <w:rsid w:val="00F5085C"/>
    <w:rsid w:val="00F51970"/>
    <w:rsid w:val="00F51D5F"/>
    <w:rsid w:val="00F5265B"/>
    <w:rsid w:val="00F53473"/>
    <w:rsid w:val="00F5590E"/>
    <w:rsid w:val="00F5668A"/>
    <w:rsid w:val="00F574F8"/>
    <w:rsid w:val="00F63817"/>
    <w:rsid w:val="00F6557E"/>
    <w:rsid w:val="00F6606D"/>
    <w:rsid w:val="00F6707F"/>
    <w:rsid w:val="00F72434"/>
    <w:rsid w:val="00F72DA6"/>
    <w:rsid w:val="00F73811"/>
    <w:rsid w:val="00F745B0"/>
    <w:rsid w:val="00F751E0"/>
    <w:rsid w:val="00F764AC"/>
    <w:rsid w:val="00F771F2"/>
    <w:rsid w:val="00F77F8C"/>
    <w:rsid w:val="00F804DA"/>
    <w:rsid w:val="00F81151"/>
    <w:rsid w:val="00F8342C"/>
    <w:rsid w:val="00F853C6"/>
    <w:rsid w:val="00F855BB"/>
    <w:rsid w:val="00F9208E"/>
    <w:rsid w:val="00F92EDA"/>
    <w:rsid w:val="00F939C1"/>
    <w:rsid w:val="00F972B5"/>
    <w:rsid w:val="00FA0316"/>
    <w:rsid w:val="00FA17B4"/>
    <w:rsid w:val="00FA2EA8"/>
    <w:rsid w:val="00FA407B"/>
    <w:rsid w:val="00FA5282"/>
    <w:rsid w:val="00FA6A9B"/>
    <w:rsid w:val="00FA6CB6"/>
    <w:rsid w:val="00FB0072"/>
    <w:rsid w:val="00FB08EC"/>
    <w:rsid w:val="00FB0ADC"/>
    <w:rsid w:val="00FB3A0E"/>
    <w:rsid w:val="00FB57A7"/>
    <w:rsid w:val="00FB5E90"/>
    <w:rsid w:val="00FB7819"/>
    <w:rsid w:val="00FB7982"/>
    <w:rsid w:val="00FC1EBE"/>
    <w:rsid w:val="00FC23DF"/>
    <w:rsid w:val="00FC2E1B"/>
    <w:rsid w:val="00FC35EF"/>
    <w:rsid w:val="00FC42EC"/>
    <w:rsid w:val="00FC45B4"/>
    <w:rsid w:val="00FC4991"/>
    <w:rsid w:val="00FC5001"/>
    <w:rsid w:val="00FC53E4"/>
    <w:rsid w:val="00FC77B7"/>
    <w:rsid w:val="00FD0DF0"/>
    <w:rsid w:val="00FD1FCD"/>
    <w:rsid w:val="00FD2812"/>
    <w:rsid w:val="00FD35D9"/>
    <w:rsid w:val="00FD3BE5"/>
    <w:rsid w:val="00FE03BF"/>
    <w:rsid w:val="00FE1F82"/>
    <w:rsid w:val="00FE241E"/>
    <w:rsid w:val="00FE2BBD"/>
    <w:rsid w:val="00FE3A63"/>
    <w:rsid w:val="00FE6A54"/>
    <w:rsid w:val="00FE6E65"/>
    <w:rsid w:val="00FF2B34"/>
    <w:rsid w:val="00FF2FB1"/>
    <w:rsid w:val="00FF4003"/>
    <w:rsid w:val="00FF4FBD"/>
    <w:rsid w:val="00FF5275"/>
    <w:rsid w:val="00FF5D22"/>
    <w:rsid w:val="00FF6923"/>
    <w:rsid w:val="00FF706F"/>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BEB93"/>
  <w15:chartTrackingRefBased/>
  <w15:docId w15:val="{DBC327E5-941A-40B1-8295-C66599EA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18C"/>
    <w:pPr>
      <w:widowControl w:val="0"/>
      <w:autoSpaceDE w:val="0"/>
      <w:autoSpaceDN w:val="0"/>
    </w:pPr>
    <w:rPr>
      <w:rFonts w:ascii="Cambria" w:eastAsia="Cambria" w:hAnsi="Cambria" w:cs="Cambria"/>
      <w:sz w:val="22"/>
      <w:szCs w:val="22"/>
      <w:lang w:val="tr-TR" w:eastAsia="tr-TR" w:bidi="tr-TR"/>
    </w:rPr>
  </w:style>
  <w:style w:type="paragraph" w:styleId="Balk1">
    <w:name w:val="heading 1"/>
    <w:basedOn w:val="Normal"/>
    <w:link w:val="Balk1Char"/>
    <w:uiPriority w:val="9"/>
    <w:qFormat/>
    <w:rsid w:val="001F1242"/>
    <w:pPr>
      <w:spacing w:before="119"/>
      <w:ind w:left="118"/>
      <w:jc w:val="both"/>
      <w:outlineLvl w:val="0"/>
    </w:pPr>
    <w:rPr>
      <w:b/>
      <w:bCs/>
      <w:sz w:val="20"/>
      <w:szCs w:val="20"/>
    </w:rPr>
  </w:style>
  <w:style w:type="paragraph" w:styleId="Balk2">
    <w:name w:val="heading 2"/>
    <w:basedOn w:val="Normal"/>
    <w:uiPriority w:val="9"/>
    <w:unhideWhenUsed/>
    <w:qFormat/>
    <w:rsid w:val="001F1242"/>
    <w:pPr>
      <w:spacing w:before="121"/>
      <w:ind w:left="2508"/>
      <w:outlineLvl w:val="1"/>
    </w:pPr>
    <w:rPr>
      <w:b/>
      <w:bCs/>
      <w:i/>
      <w:sz w:val="20"/>
      <w:szCs w:val="20"/>
    </w:rPr>
  </w:style>
  <w:style w:type="paragraph" w:styleId="Balk3">
    <w:name w:val="heading 3"/>
    <w:basedOn w:val="Normal"/>
    <w:next w:val="Normal"/>
    <w:link w:val="Balk3Char"/>
    <w:uiPriority w:val="9"/>
    <w:unhideWhenUsed/>
    <w:qFormat/>
    <w:rsid w:val="000F496A"/>
    <w:pPr>
      <w:keepNext/>
      <w:keepLines/>
      <w:spacing w:before="40"/>
      <w:outlineLvl w:val="2"/>
    </w:pPr>
    <w:rPr>
      <w:rFonts w:eastAsia="Times New Roman" w:cs="Times New Roman"/>
      <w:color w:val="243F60"/>
      <w:sz w:val="24"/>
      <w:szCs w:val="24"/>
    </w:rPr>
  </w:style>
  <w:style w:type="paragraph" w:styleId="Balk5">
    <w:name w:val="heading 5"/>
    <w:basedOn w:val="Normal"/>
    <w:next w:val="Normal"/>
    <w:link w:val="Balk5Char"/>
    <w:uiPriority w:val="9"/>
    <w:semiHidden/>
    <w:unhideWhenUsed/>
    <w:qFormat/>
    <w:rsid w:val="00A24017"/>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39"/>
    <w:qFormat/>
    <w:rsid w:val="001F1242"/>
    <w:pPr>
      <w:spacing w:before="120"/>
      <w:ind w:left="718" w:hanging="600"/>
    </w:pPr>
    <w:rPr>
      <w:b/>
      <w:bCs/>
      <w:sz w:val="24"/>
      <w:szCs w:val="24"/>
    </w:rPr>
  </w:style>
  <w:style w:type="paragraph" w:styleId="GvdeMetni">
    <w:name w:val="Body Text"/>
    <w:basedOn w:val="Normal"/>
    <w:uiPriority w:val="1"/>
    <w:qFormat/>
    <w:rsid w:val="001F1242"/>
    <w:rPr>
      <w:sz w:val="20"/>
      <w:szCs w:val="20"/>
    </w:rPr>
  </w:style>
  <w:style w:type="paragraph" w:styleId="ListeParagraf">
    <w:name w:val="List Paragraph"/>
    <w:basedOn w:val="Normal"/>
    <w:uiPriority w:val="34"/>
    <w:qFormat/>
    <w:rsid w:val="001F1242"/>
    <w:pPr>
      <w:ind w:left="718" w:hanging="600"/>
    </w:pPr>
  </w:style>
  <w:style w:type="paragraph" w:customStyle="1" w:styleId="TableParagraph">
    <w:name w:val="Table Paragraph"/>
    <w:basedOn w:val="Normal"/>
    <w:uiPriority w:val="1"/>
    <w:qFormat/>
    <w:rsid w:val="001F1242"/>
  </w:style>
  <w:style w:type="paragraph" w:styleId="stBilgi">
    <w:name w:val="header"/>
    <w:basedOn w:val="Normal"/>
    <w:link w:val="stBilgiChar"/>
    <w:uiPriority w:val="99"/>
    <w:unhideWhenUsed/>
    <w:rsid w:val="002E2059"/>
    <w:pPr>
      <w:tabs>
        <w:tab w:val="center" w:pos="4536"/>
        <w:tab w:val="right" w:pos="9072"/>
      </w:tabs>
    </w:pPr>
    <w:rPr>
      <w:sz w:val="20"/>
      <w:szCs w:val="20"/>
    </w:rPr>
  </w:style>
  <w:style w:type="character" w:customStyle="1" w:styleId="stBilgiChar">
    <w:name w:val="Üst Bilgi Char"/>
    <w:link w:val="stBilgi"/>
    <w:uiPriority w:val="99"/>
    <w:rsid w:val="002E2059"/>
    <w:rPr>
      <w:rFonts w:ascii="Cambria" w:eastAsia="Cambria" w:hAnsi="Cambria" w:cs="Cambria"/>
      <w:lang w:val="tr-TR" w:eastAsia="tr-TR" w:bidi="tr-TR"/>
    </w:rPr>
  </w:style>
  <w:style w:type="paragraph" w:styleId="AltBilgi">
    <w:name w:val="footer"/>
    <w:basedOn w:val="Normal"/>
    <w:link w:val="AltBilgiChar"/>
    <w:uiPriority w:val="99"/>
    <w:unhideWhenUsed/>
    <w:rsid w:val="002E2059"/>
    <w:pPr>
      <w:tabs>
        <w:tab w:val="center" w:pos="4536"/>
        <w:tab w:val="right" w:pos="9072"/>
      </w:tabs>
    </w:pPr>
    <w:rPr>
      <w:sz w:val="20"/>
      <w:szCs w:val="20"/>
    </w:rPr>
  </w:style>
  <w:style w:type="character" w:customStyle="1" w:styleId="AltBilgiChar">
    <w:name w:val="Alt Bilgi Char"/>
    <w:link w:val="AltBilgi"/>
    <w:uiPriority w:val="99"/>
    <w:rsid w:val="002E2059"/>
    <w:rPr>
      <w:rFonts w:ascii="Cambria" w:eastAsia="Cambria" w:hAnsi="Cambria" w:cs="Cambria"/>
      <w:lang w:val="tr-TR" w:eastAsia="tr-TR" w:bidi="tr-TR"/>
    </w:rPr>
  </w:style>
  <w:style w:type="paragraph" w:styleId="TBal">
    <w:name w:val="TOC Heading"/>
    <w:basedOn w:val="Balk1"/>
    <w:next w:val="Normal"/>
    <w:uiPriority w:val="39"/>
    <w:unhideWhenUsed/>
    <w:qFormat/>
    <w:rsid w:val="00527398"/>
    <w:pPr>
      <w:keepNext/>
      <w:keepLines/>
      <w:widowControl/>
      <w:autoSpaceDE/>
      <w:autoSpaceDN/>
      <w:spacing w:before="240" w:line="259" w:lineRule="auto"/>
      <w:ind w:left="0"/>
      <w:jc w:val="left"/>
      <w:outlineLvl w:val="9"/>
    </w:pPr>
    <w:rPr>
      <w:rFonts w:eastAsia="Times New Roman" w:cs="Times New Roman"/>
      <w:b w:val="0"/>
      <w:bCs w:val="0"/>
      <w:color w:val="365F91"/>
      <w:sz w:val="32"/>
      <w:szCs w:val="32"/>
      <w:lang w:val="en-US" w:eastAsia="en-US" w:bidi="ar-SA"/>
    </w:rPr>
  </w:style>
  <w:style w:type="character" w:styleId="Kpr">
    <w:name w:val="Hyperlink"/>
    <w:uiPriority w:val="99"/>
    <w:unhideWhenUsed/>
    <w:rsid w:val="00D00771"/>
    <w:rPr>
      <w:color w:val="0000FF"/>
      <w:u w:val="single"/>
    </w:rPr>
  </w:style>
  <w:style w:type="paragraph" w:styleId="BalonMetni">
    <w:name w:val="Balloon Text"/>
    <w:basedOn w:val="Normal"/>
    <w:link w:val="BalonMetniChar"/>
    <w:uiPriority w:val="99"/>
    <w:semiHidden/>
    <w:unhideWhenUsed/>
    <w:rsid w:val="00177A72"/>
    <w:rPr>
      <w:rFonts w:ascii="Tahoma" w:hAnsi="Tahoma" w:cs="Tahoma"/>
      <w:sz w:val="16"/>
      <w:szCs w:val="16"/>
    </w:rPr>
  </w:style>
  <w:style w:type="character" w:customStyle="1" w:styleId="BalonMetniChar">
    <w:name w:val="Balon Metni Char"/>
    <w:link w:val="BalonMetni"/>
    <w:uiPriority w:val="99"/>
    <w:semiHidden/>
    <w:rsid w:val="00177A72"/>
    <w:rPr>
      <w:rFonts w:ascii="Tahoma" w:eastAsia="Cambria" w:hAnsi="Tahoma" w:cs="Tahoma"/>
      <w:sz w:val="16"/>
      <w:szCs w:val="16"/>
      <w:lang w:val="tr-TR" w:eastAsia="tr-TR" w:bidi="tr-TR"/>
    </w:rPr>
  </w:style>
  <w:style w:type="character" w:styleId="AklamaBavurusu">
    <w:name w:val="annotation reference"/>
    <w:uiPriority w:val="99"/>
    <w:semiHidden/>
    <w:unhideWhenUsed/>
    <w:rsid w:val="00DA7A33"/>
    <w:rPr>
      <w:sz w:val="16"/>
      <w:szCs w:val="16"/>
    </w:rPr>
  </w:style>
  <w:style w:type="paragraph" w:styleId="AklamaMetni">
    <w:name w:val="annotation text"/>
    <w:basedOn w:val="Normal"/>
    <w:link w:val="AklamaMetniChar"/>
    <w:uiPriority w:val="99"/>
    <w:unhideWhenUsed/>
    <w:rsid w:val="00DA7A33"/>
    <w:rPr>
      <w:sz w:val="20"/>
      <w:szCs w:val="20"/>
    </w:rPr>
  </w:style>
  <w:style w:type="character" w:customStyle="1" w:styleId="AklamaMetniChar">
    <w:name w:val="Açıklama Metni Char"/>
    <w:link w:val="AklamaMetni"/>
    <w:uiPriority w:val="99"/>
    <w:rsid w:val="00DA7A33"/>
    <w:rPr>
      <w:rFonts w:ascii="Cambria" w:eastAsia="Cambria" w:hAnsi="Cambria" w:cs="Cambria"/>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DA7A33"/>
    <w:rPr>
      <w:b/>
      <w:bCs/>
    </w:rPr>
  </w:style>
  <w:style w:type="character" w:customStyle="1" w:styleId="AklamaKonusuChar">
    <w:name w:val="Açıklama Konusu Char"/>
    <w:link w:val="AklamaKonusu"/>
    <w:uiPriority w:val="99"/>
    <w:semiHidden/>
    <w:rsid w:val="00DA7A33"/>
    <w:rPr>
      <w:rFonts w:ascii="Cambria" w:eastAsia="Cambria" w:hAnsi="Cambria" w:cs="Cambria"/>
      <w:b/>
      <w:bCs/>
      <w:sz w:val="20"/>
      <w:szCs w:val="20"/>
      <w:lang w:val="tr-TR" w:eastAsia="tr-TR" w:bidi="tr-TR"/>
    </w:rPr>
  </w:style>
  <w:style w:type="paragraph" w:styleId="Dzeltme">
    <w:name w:val="Revision"/>
    <w:hidden/>
    <w:uiPriority w:val="99"/>
    <w:semiHidden/>
    <w:rsid w:val="00DA7A33"/>
    <w:rPr>
      <w:rFonts w:ascii="Cambria" w:eastAsia="Cambria" w:hAnsi="Cambria" w:cs="Cambria"/>
      <w:sz w:val="22"/>
      <w:szCs w:val="22"/>
      <w:lang w:val="tr-TR" w:eastAsia="tr-TR" w:bidi="tr-TR"/>
    </w:rPr>
  </w:style>
  <w:style w:type="character" w:styleId="GlBavuru">
    <w:name w:val="Intense Reference"/>
    <w:uiPriority w:val="32"/>
    <w:qFormat/>
    <w:rsid w:val="000F496A"/>
    <w:rPr>
      <w:b/>
      <w:bCs/>
      <w:smallCaps/>
      <w:color w:val="4F81BD"/>
      <w:spacing w:val="5"/>
    </w:rPr>
  </w:style>
  <w:style w:type="character" w:customStyle="1" w:styleId="Balk3Char">
    <w:name w:val="Başlık 3 Char"/>
    <w:link w:val="Balk3"/>
    <w:uiPriority w:val="9"/>
    <w:rsid w:val="000F496A"/>
    <w:rPr>
      <w:rFonts w:ascii="Cambria" w:eastAsia="Times New Roman" w:hAnsi="Cambria" w:cs="Times New Roman"/>
      <w:color w:val="243F60"/>
      <w:sz w:val="24"/>
      <w:szCs w:val="24"/>
      <w:lang w:val="tr-TR" w:eastAsia="tr-TR" w:bidi="tr-TR"/>
    </w:rPr>
  </w:style>
  <w:style w:type="paragraph" w:styleId="T3">
    <w:name w:val="toc 3"/>
    <w:basedOn w:val="Normal"/>
    <w:next w:val="Normal"/>
    <w:autoRedefine/>
    <w:uiPriority w:val="39"/>
    <w:unhideWhenUsed/>
    <w:rsid w:val="000F496A"/>
    <w:pPr>
      <w:tabs>
        <w:tab w:val="left" w:pos="880"/>
        <w:tab w:val="right" w:leader="dot" w:pos="8920"/>
      </w:tabs>
      <w:spacing w:after="100"/>
      <w:ind w:left="118"/>
    </w:pPr>
  </w:style>
  <w:style w:type="character" w:customStyle="1" w:styleId="Balk1Char">
    <w:name w:val="Başlık 1 Char"/>
    <w:basedOn w:val="VarsaylanParagrafYazTipi"/>
    <w:link w:val="Balk1"/>
    <w:uiPriority w:val="9"/>
    <w:rsid w:val="00C92231"/>
    <w:rPr>
      <w:rFonts w:ascii="Cambria" w:eastAsia="Cambria" w:hAnsi="Cambria" w:cs="Cambria"/>
      <w:b/>
      <w:bCs/>
      <w:lang w:val="tr-TR" w:eastAsia="tr-TR" w:bidi="tr-TR"/>
    </w:rPr>
  </w:style>
  <w:style w:type="character" w:styleId="zlenenKpr">
    <w:name w:val="FollowedHyperlink"/>
    <w:basedOn w:val="VarsaylanParagrafYazTipi"/>
    <w:uiPriority w:val="99"/>
    <w:semiHidden/>
    <w:unhideWhenUsed/>
    <w:rsid w:val="00FA6A9B"/>
    <w:rPr>
      <w:color w:val="954F72" w:themeColor="followedHyperlink"/>
      <w:u w:val="single"/>
    </w:rPr>
  </w:style>
  <w:style w:type="paragraph" w:styleId="NormalWeb">
    <w:name w:val="Normal (Web)"/>
    <w:basedOn w:val="Normal"/>
    <w:uiPriority w:val="99"/>
    <w:semiHidden/>
    <w:unhideWhenUsed/>
    <w:rsid w:val="00FE1F8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Gl">
    <w:name w:val="Strong"/>
    <w:basedOn w:val="VarsaylanParagrafYazTipi"/>
    <w:uiPriority w:val="22"/>
    <w:qFormat/>
    <w:rsid w:val="00FE1F82"/>
    <w:rPr>
      <w:b/>
      <w:bCs/>
    </w:rPr>
  </w:style>
  <w:style w:type="character" w:styleId="zmlenmeyenBahsetme">
    <w:name w:val="Unresolved Mention"/>
    <w:basedOn w:val="VarsaylanParagrafYazTipi"/>
    <w:uiPriority w:val="99"/>
    <w:semiHidden/>
    <w:unhideWhenUsed/>
    <w:rsid w:val="00FE1F82"/>
    <w:rPr>
      <w:color w:val="605E5C"/>
      <w:shd w:val="clear" w:color="auto" w:fill="E1DFDD"/>
    </w:rPr>
  </w:style>
  <w:style w:type="character" w:customStyle="1" w:styleId="Balk5Char">
    <w:name w:val="Başlık 5 Char"/>
    <w:basedOn w:val="VarsaylanParagrafYazTipi"/>
    <w:link w:val="Balk5"/>
    <w:uiPriority w:val="9"/>
    <w:semiHidden/>
    <w:rsid w:val="00A24017"/>
    <w:rPr>
      <w:rFonts w:asciiTheme="majorHAnsi" w:eastAsiaTheme="majorEastAsia" w:hAnsiTheme="majorHAnsi" w:cstheme="majorBidi"/>
      <w:color w:val="2E74B5" w:themeColor="accent1" w:themeShade="BF"/>
      <w:sz w:val="22"/>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589">
      <w:bodyDiv w:val="1"/>
      <w:marLeft w:val="0"/>
      <w:marRight w:val="0"/>
      <w:marTop w:val="0"/>
      <w:marBottom w:val="0"/>
      <w:divBdr>
        <w:top w:val="none" w:sz="0" w:space="0" w:color="auto"/>
        <w:left w:val="none" w:sz="0" w:space="0" w:color="auto"/>
        <w:bottom w:val="none" w:sz="0" w:space="0" w:color="auto"/>
        <w:right w:val="none" w:sz="0" w:space="0" w:color="auto"/>
      </w:divBdr>
    </w:div>
    <w:div w:id="73548260">
      <w:bodyDiv w:val="1"/>
      <w:marLeft w:val="0"/>
      <w:marRight w:val="0"/>
      <w:marTop w:val="0"/>
      <w:marBottom w:val="0"/>
      <w:divBdr>
        <w:top w:val="none" w:sz="0" w:space="0" w:color="auto"/>
        <w:left w:val="none" w:sz="0" w:space="0" w:color="auto"/>
        <w:bottom w:val="none" w:sz="0" w:space="0" w:color="auto"/>
        <w:right w:val="none" w:sz="0" w:space="0" w:color="auto"/>
      </w:divBdr>
    </w:div>
    <w:div w:id="174423587">
      <w:bodyDiv w:val="1"/>
      <w:marLeft w:val="0"/>
      <w:marRight w:val="0"/>
      <w:marTop w:val="0"/>
      <w:marBottom w:val="0"/>
      <w:divBdr>
        <w:top w:val="none" w:sz="0" w:space="0" w:color="auto"/>
        <w:left w:val="none" w:sz="0" w:space="0" w:color="auto"/>
        <w:bottom w:val="none" w:sz="0" w:space="0" w:color="auto"/>
        <w:right w:val="none" w:sz="0" w:space="0" w:color="auto"/>
      </w:divBdr>
    </w:div>
    <w:div w:id="190647915">
      <w:bodyDiv w:val="1"/>
      <w:marLeft w:val="0"/>
      <w:marRight w:val="0"/>
      <w:marTop w:val="0"/>
      <w:marBottom w:val="0"/>
      <w:divBdr>
        <w:top w:val="none" w:sz="0" w:space="0" w:color="auto"/>
        <w:left w:val="none" w:sz="0" w:space="0" w:color="auto"/>
        <w:bottom w:val="none" w:sz="0" w:space="0" w:color="auto"/>
        <w:right w:val="none" w:sz="0" w:space="0" w:color="auto"/>
      </w:divBdr>
    </w:div>
    <w:div w:id="233974664">
      <w:bodyDiv w:val="1"/>
      <w:marLeft w:val="0"/>
      <w:marRight w:val="0"/>
      <w:marTop w:val="0"/>
      <w:marBottom w:val="0"/>
      <w:divBdr>
        <w:top w:val="none" w:sz="0" w:space="0" w:color="auto"/>
        <w:left w:val="none" w:sz="0" w:space="0" w:color="auto"/>
        <w:bottom w:val="none" w:sz="0" w:space="0" w:color="auto"/>
        <w:right w:val="none" w:sz="0" w:space="0" w:color="auto"/>
      </w:divBdr>
    </w:div>
    <w:div w:id="264466641">
      <w:bodyDiv w:val="1"/>
      <w:marLeft w:val="0"/>
      <w:marRight w:val="0"/>
      <w:marTop w:val="0"/>
      <w:marBottom w:val="0"/>
      <w:divBdr>
        <w:top w:val="none" w:sz="0" w:space="0" w:color="auto"/>
        <w:left w:val="none" w:sz="0" w:space="0" w:color="auto"/>
        <w:bottom w:val="none" w:sz="0" w:space="0" w:color="auto"/>
        <w:right w:val="none" w:sz="0" w:space="0" w:color="auto"/>
      </w:divBdr>
    </w:div>
    <w:div w:id="346716410">
      <w:bodyDiv w:val="1"/>
      <w:marLeft w:val="0"/>
      <w:marRight w:val="0"/>
      <w:marTop w:val="0"/>
      <w:marBottom w:val="0"/>
      <w:divBdr>
        <w:top w:val="none" w:sz="0" w:space="0" w:color="auto"/>
        <w:left w:val="none" w:sz="0" w:space="0" w:color="auto"/>
        <w:bottom w:val="none" w:sz="0" w:space="0" w:color="auto"/>
        <w:right w:val="none" w:sz="0" w:space="0" w:color="auto"/>
      </w:divBdr>
    </w:div>
    <w:div w:id="379210668">
      <w:bodyDiv w:val="1"/>
      <w:marLeft w:val="0"/>
      <w:marRight w:val="0"/>
      <w:marTop w:val="0"/>
      <w:marBottom w:val="0"/>
      <w:divBdr>
        <w:top w:val="none" w:sz="0" w:space="0" w:color="auto"/>
        <w:left w:val="none" w:sz="0" w:space="0" w:color="auto"/>
        <w:bottom w:val="none" w:sz="0" w:space="0" w:color="auto"/>
        <w:right w:val="none" w:sz="0" w:space="0" w:color="auto"/>
      </w:divBdr>
    </w:div>
    <w:div w:id="445806142">
      <w:bodyDiv w:val="1"/>
      <w:marLeft w:val="0"/>
      <w:marRight w:val="0"/>
      <w:marTop w:val="0"/>
      <w:marBottom w:val="0"/>
      <w:divBdr>
        <w:top w:val="none" w:sz="0" w:space="0" w:color="auto"/>
        <w:left w:val="none" w:sz="0" w:space="0" w:color="auto"/>
        <w:bottom w:val="none" w:sz="0" w:space="0" w:color="auto"/>
        <w:right w:val="none" w:sz="0" w:space="0" w:color="auto"/>
      </w:divBdr>
    </w:div>
    <w:div w:id="645011905">
      <w:bodyDiv w:val="1"/>
      <w:marLeft w:val="0"/>
      <w:marRight w:val="0"/>
      <w:marTop w:val="0"/>
      <w:marBottom w:val="0"/>
      <w:divBdr>
        <w:top w:val="none" w:sz="0" w:space="0" w:color="auto"/>
        <w:left w:val="none" w:sz="0" w:space="0" w:color="auto"/>
        <w:bottom w:val="none" w:sz="0" w:space="0" w:color="auto"/>
        <w:right w:val="none" w:sz="0" w:space="0" w:color="auto"/>
      </w:divBdr>
    </w:div>
    <w:div w:id="649284250">
      <w:bodyDiv w:val="1"/>
      <w:marLeft w:val="0"/>
      <w:marRight w:val="0"/>
      <w:marTop w:val="0"/>
      <w:marBottom w:val="0"/>
      <w:divBdr>
        <w:top w:val="none" w:sz="0" w:space="0" w:color="auto"/>
        <w:left w:val="none" w:sz="0" w:space="0" w:color="auto"/>
        <w:bottom w:val="none" w:sz="0" w:space="0" w:color="auto"/>
        <w:right w:val="none" w:sz="0" w:space="0" w:color="auto"/>
      </w:divBdr>
    </w:div>
    <w:div w:id="692153348">
      <w:bodyDiv w:val="1"/>
      <w:marLeft w:val="0"/>
      <w:marRight w:val="0"/>
      <w:marTop w:val="0"/>
      <w:marBottom w:val="0"/>
      <w:divBdr>
        <w:top w:val="none" w:sz="0" w:space="0" w:color="auto"/>
        <w:left w:val="none" w:sz="0" w:space="0" w:color="auto"/>
        <w:bottom w:val="none" w:sz="0" w:space="0" w:color="auto"/>
        <w:right w:val="none" w:sz="0" w:space="0" w:color="auto"/>
      </w:divBdr>
    </w:div>
    <w:div w:id="738401919">
      <w:bodyDiv w:val="1"/>
      <w:marLeft w:val="0"/>
      <w:marRight w:val="0"/>
      <w:marTop w:val="0"/>
      <w:marBottom w:val="0"/>
      <w:divBdr>
        <w:top w:val="none" w:sz="0" w:space="0" w:color="auto"/>
        <w:left w:val="none" w:sz="0" w:space="0" w:color="auto"/>
        <w:bottom w:val="none" w:sz="0" w:space="0" w:color="auto"/>
        <w:right w:val="none" w:sz="0" w:space="0" w:color="auto"/>
      </w:divBdr>
    </w:div>
    <w:div w:id="878123165">
      <w:bodyDiv w:val="1"/>
      <w:marLeft w:val="0"/>
      <w:marRight w:val="0"/>
      <w:marTop w:val="0"/>
      <w:marBottom w:val="0"/>
      <w:divBdr>
        <w:top w:val="none" w:sz="0" w:space="0" w:color="auto"/>
        <w:left w:val="none" w:sz="0" w:space="0" w:color="auto"/>
        <w:bottom w:val="none" w:sz="0" w:space="0" w:color="auto"/>
        <w:right w:val="none" w:sz="0" w:space="0" w:color="auto"/>
      </w:divBdr>
    </w:div>
    <w:div w:id="928200021">
      <w:bodyDiv w:val="1"/>
      <w:marLeft w:val="0"/>
      <w:marRight w:val="0"/>
      <w:marTop w:val="0"/>
      <w:marBottom w:val="0"/>
      <w:divBdr>
        <w:top w:val="none" w:sz="0" w:space="0" w:color="auto"/>
        <w:left w:val="none" w:sz="0" w:space="0" w:color="auto"/>
        <w:bottom w:val="none" w:sz="0" w:space="0" w:color="auto"/>
        <w:right w:val="none" w:sz="0" w:space="0" w:color="auto"/>
      </w:divBdr>
    </w:div>
    <w:div w:id="932127163">
      <w:bodyDiv w:val="1"/>
      <w:marLeft w:val="0"/>
      <w:marRight w:val="0"/>
      <w:marTop w:val="0"/>
      <w:marBottom w:val="0"/>
      <w:divBdr>
        <w:top w:val="none" w:sz="0" w:space="0" w:color="auto"/>
        <w:left w:val="none" w:sz="0" w:space="0" w:color="auto"/>
        <w:bottom w:val="none" w:sz="0" w:space="0" w:color="auto"/>
        <w:right w:val="none" w:sz="0" w:space="0" w:color="auto"/>
      </w:divBdr>
    </w:div>
    <w:div w:id="953558495">
      <w:bodyDiv w:val="1"/>
      <w:marLeft w:val="0"/>
      <w:marRight w:val="0"/>
      <w:marTop w:val="0"/>
      <w:marBottom w:val="0"/>
      <w:divBdr>
        <w:top w:val="none" w:sz="0" w:space="0" w:color="auto"/>
        <w:left w:val="none" w:sz="0" w:space="0" w:color="auto"/>
        <w:bottom w:val="none" w:sz="0" w:space="0" w:color="auto"/>
        <w:right w:val="none" w:sz="0" w:space="0" w:color="auto"/>
      </w:divBdr>
    </w:div>
    <w:div w:id="1022174135">
      <w:bodyDiv w:val="1"/>
      <w:marLeft w:val="0"/>
      <w:marRight w:val="0"/>
      <w:marTop w:val="0"/>
      <w:marBottom w:val="0"/>
      <w:divBdr>
        <w:top w:val="none" w:sz="0" w:space="0" w:color="auto"/>
        <w:left w:val="none" w:sz="0" w:space="0" w:color="auto"/>
        <w:bottom w:val="none" w:sz="0" w:space="0" w:color="auto"/>
        <w:right w:val="none" w:sz="0" w:space="0" w:color="auto"/>
      </w:divBdr>
    </w:div>
    <w:div w:id="1067460820">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195969282">
      <w:bodyDiv w:val="1"/>
      <w:marLeft w:val="0"/>
      <w:marRight w:val="0"/>
      <w:marTop w:val="0"/>
      <w:marBottom w:val="0"/>
      <w:divBdr>
        <w:top w:val="none" w:sz="0" w:space="0" w:color="auto"/>
        <w:left w:val="none" w:sz="0" w:space="0" w:color="auto"/>
        <w:bottom w:val="none" w:sz="0" w:space="0" w:color="auto"/>
        <w:right w:val="none" w:sz="0" w:space="0" w:color="auto"/>
      </w:divBdr>
    </w:div>
    <w:div w:id="1220363054">
      <w:bodyDiv w:val="1"/>
      <w:marLeft w:val="0"/>
      <w:marRight w:val="0"/>
      <w:marTop w:val="0"/>
      <w:marBottom w:val="0"/>
      <w:divBdr>
        <w:top w:val="none" w:sz="0" w:space="0" w:color="auto"/>
        <w:left w:val="none" w:sz="0" w:space="0" w:color="auto"/>
        <w:bottom w:val="none" w:sz="0" w:space="0" w:color="auto"/>
        <w:right w:val="none" w:sz="0" w:space="0" w:color="auto"/>
      </w:divBdr>
    </w:div>
    <w:div w:id="1320230247">
      <w:bodyDiv w:val="1"/>
      <w:marLeft w:val="0"/>
      <w:marRight w:val="0"/>
      <w:marTop w:val="0"/>
      <w:marBottom w:val="0"/>
      <w:divBdr>
        <w:top w:val="none" w:sz="0" w:space="0" w:color="auto"/>
        <w:left w:val="none" w:sz="0" w:space="0" w:color="auto"/>
        <w:bottom w:val="none" w:sz="0" w:space="0" w:color="auto"/>
        <w:right w:val="none" w:sz="0" w:space="0" w:color="auto"/>
      </w:divBdr>
    </w:div>
    <w:div w:id="1356271014">
      <w:bodyDiv w:val="1"/>
      <w:marLeft w:val="0"/>
      <w:marRight w:val="0"/>
      <w:marTop w:val="0"/>
      <w:marBottom w:val="0"/>
      <w:divBdr>
        <w:top w:val="none" w:sz="0" w:space="0" w:color="auto"/>
        <w:left w:val="none" w:sz="0" w:space="0" w:color="auto"/>
        <w:bottom w:val="none" w:sz="0" w:space="0" w:color="auto"/>
        <w:right w:val="none" w:sz="0" w:space="0" w:color="auto"/>
      </w:divBdr>
    </w:div>
    <w:div w:id="1361399924">
      <w:bodyDiv w:val="1"/>
      <w:marLeft w:val="0"/>
      <w:marRight w:val="0"/>
      <w:marTop w:val="0"/>
      <w:marBottom w:val="0"/>
      <w:divBdr>
        <w:top w:val="none" w:sz="0" w:space="0" w:color="auto"/>
        <w:left w:val="none" w:sz="0" w:space="0" w:color="auto"/>
        <w:bottom w:val="none" w:sz="0" w:space="0" w:color="auto"/>
        <w:right w:val="none" w:sz="0" w:space="0" w:color="auto"/>
      </w:divBdr>
    </w:div>
    <w:div w:id="1398169464">
      <w:bodyDiv w:val="1"/>
      <w:marLeft w:val="0"/>
      <w:marRight w:val="0"/>
      <w:marTop w:val="0"/>
      <w:marBottom w:val="0"/>
      <w:divBdr>
        <w:top w:val="none" w:sz="0" w:space="0" w:color="auto"/>
        <w:left w:val="none" w:sz="0" w:space="0" w:color="auto"/>
        <w:bottom w:val="none" w:sz="0" w:space="0" w:color="auto"/>
        <w:right w:val="none" w:sz="0" w:space="0" w:color="auto"/>
      </w:divBdr>
    </w:div>
    <w:div w:id="1400011337">
      <w:bodyDiv w:val="1"/>
      <w:marLeft w:val="0"/>
      <w:marRight w:val="0"/>
      <w:marTop w:val="0"/>
      <w:marBottom w:val="0"/>
      <w:divBdr>
        <w:top w:val="none" w:sz="0" w:space="0" w:color="auto"/>
        <w:left w:val="none" w:sz="0" w:space="0" w:color="auto"/>
        <w:bottom w:val="none" w:sz="0" w:space="0" w:color="auto"/>
        <w:right w:val="none" w:sz="0" w:space="0" w:color="auto"/>
      </w:divBdr>
    </w:div>
    <w:div w:id="1437094546">
      <w:bodyDiv w:val="1"/>
      <w:marLeft w:val="0"/>
      <w:marRight w:val="0"/>
      <w:marTop w:val="0"/>
      <w:marBottom w:val="0"/>
      <w:divBdr>
        <w:top w:val="none" w:sz="0" w:space="0" w:color="auto"/>
        <w:left w:val="none" w:sz="0" w:space="0" w:color="auto"/>
        <w:bottom w:val="none" w:sz="0" w:space="0" w:color="auto"/>
        <w:right w:val="none" w:sz="0" w:space="0" w:color="auto"/>
      </w:divBdr>
    </w:div>
    <w:div w:id="1462915123">
      <w:bodyDiv w:val="1"/>
      <w:marLeft w:val="0"/>
      <w:marRight w:val="0"/>
      <w:marTop w:val="0"/>
      <w:marBottom w:val="0"/>
      <w:divBdr>
        <w:top w:val="none" w:sz="0" w:space="0" w:color="auto"/>
        <w:left w:val="none" w:sz="0" w:space="0" w:color="auto"/>
        <w:bottom w:val="none" w:sz="0" w:space="0" w:color="auto"/>
        <w:right w:val="none" w:sz="0" w:space="0" w:color="auto"/>
      </w:divBdr>
    </w:div>
    <w:div w:id="1519730653">
      <w:bodyDiv w:val="1"/>
      <w:marLeft w:val="0"/>
      <w:marRight w:val="0"/>
      <w:marTop w:val="0"/>
      <w:marBottom w:val="0"/>
      <w:divBdr>
        <w:top w:val="none" w:sz="0" w:space="0" w:color="auto"/>
        <w:left w:val="none" w:sz="0" w:space="0" w:color="auto"/>
        <w:bottom w:val="none" w:sz="0" w:space="0" w:color="auto"/>
        <w:right w:val="none" w:sz="0" w:space="0" w:color="auto"/>
      </w:divBdr>
    </w:div>
    <w:div w:id="1522863829">
      <w:bodyDiv w:val="1"/>
      <w:marLeft w:val="0"/>
      <w:marRight w:val="0"/>
      <w:marTop w:val="0"/>
      <w:marBottom w:val="0"/>
      <w:divBdr>
        <w:top w:val="none" w:sz="0" w:space="0" w:color="auto"/>
        <w:left w:val="none" w:sz="0" w:space="0" w:color="auto"/>
        <w:bottom w:val="none" w:sz="0" w:space="0" w:color="auto"/>
        <w:right w:val="none" w:sz="0" w:space="0" w:color="auto"/>
      </w:divBdr>
    </w:div>
    <w:div w:id="1534460128">
      <w:bodyDiv w:val="1"/>
      <w:marLeft w:val="0"/>
      <w:marRight w:val="0"/>
      <w:marTop w:val="0"/>
      <w:marBottom w:val="0"/>
      <w:divBdr>
        <w:top w:val="none" w:sz="0" w:space="0" w:color="auto"/>
        <w:left w:val="none" w:sz="0" w:space="0" w:color="auto"/>
        <w:bottom w:val="none" w:sz="0" w:space="0" w:color="auto"/>
        <w:right w:val="none" w:sz="0" w:space="0" w:color="auto"/>
      </w:divBdr>
    </w:div>
    <w:div w:id="1571619440">
      <w:bodyDiv w:val="1"/>
      <w:marLeft w:val="0"/>
      <w:marRight w:val="0"/>
      <w:marTop w:val="0"/>
      <w:marBottom w:val="0"/>
      <w:divBdr>
        <w:top w:val="none" w:sz="0" w:space="0" w:color="auto"/>
        <w:left w:val="none" w:sz="0" w:space="0" w:color="auto"/>
        <w:bottom w:val="none" w:sz="0" w:space="0" w:color="auto"/>
        <w:right w:val="none" w:sz="0" w:space="0" w:color="auto"/>
      </w:divBdr>
    </w:div>
    <w:div w:id="1646472204">
      <w:bodyDiv w:val="1"/>
      <w:marLeft w:val="0"/>
      <w:marRight w:val="0"/>
      <w:marTop w:val="0"/>
      <w:marBottom w:val="0"/>
      <w:divBdr>
        <w:top w:val="none" w:sz="0" w:space="0" w:color="auto"/>
        <w:left w:val="none" w:sz="0" w:space="0" w:color="auto"/>
        <w:bottom w:val="none" w:sz="0" w:space="0" w:color="auto"/>
        <w:right w:val="none" w:sz="0" w:space="0" w:color="auto"/>
      </w:divBdr>
    </w:div>
    <w:div w:id="1681079384">
      <w:bodyDiv w:val="1"/>
      <w:marLeft w:val="0"/>
      <w:marRight w:val="0"/>
      <w:marTop w:val="0"/>
      <w:marBottom w:val="0"/>
      <w:divBdr>
        <w:top w:val="none" w:sz="0" w:space="0" w:color="auto"/>
        <w:left w:val="none" w:sz="0" w:space="0" w:color="auto"/>
        <w:bottom w:val="none" w:sz="0" w:space="0" w:color="auto"/>
        <w:right w:val="none" w:sz="0" w:space="0" w:color="auto"/>
      </w:divBdr>
    </w:div>
    <w:div w:id="1696156998">
      <w:bodyDiv w:val="1"/>
      <w:marLeft w:val="0"/>
      <w:marRight w:val="0"/>
      <w:marTop w:val="0"/>
      <w:marBottom w:val="0"/>
      <w:divBdr>
        <w:top w:val="none" w:sz="0" w:space="0" w:color="auto"/>
        <w:left w:val="none" w:sz="0" w:space="0" w:color="auto"/>
        <w:bottom w:val="none" w:sz="0" w:space="0" w:color="auto"/>
        <w:right w:val="none" w:sz="0" w:space="0" w:color="auto"/>
      </w:divBdr>
    </w:div>
    <w:div w:id="1761947847">
      <w:bodyDiv w:val="1"/>
      <w:marLeft w:val="0"/>
      <w:marRight w:val="0"/>
      <w:marTop w:val="0"/>
      <w:marBottom w:val="0"/>
      <w:divBdr>
        <w:top w:val="none" w:sz="0" w:space="0" w:color="auto"/>
        <w:left w:val="none" w:sz="0" w:space="0" w:color="auto"/>
        <w:bottom w:val="none" w:sz="0" w:space="0" w:color="auto"/>
        <w:right w:val="none" w:sz="0" w:space="0" w:color="auto"/>
      </w:divBdr>
    </w:div>
    <w:div w:id="1821002239">
      <w:bodyDiv w:val="1"/>
      <w:marLeft w:val="0"/>
      <w:marRight w:val="0"/>
      <w:marTop w:val="0"/>
      <w:marBottom w:val="0"/>
      <w:divBdr>
        <w:top w:val="none" w:sz="0" w:space="0" w:color="auto"/>
        <w:left w:val="none" w:sz="0" w:space="0" w:color="auto"/>
        <w:bottom w:val="none" w:sz="0" w:space="0" w:color="auto"/>
        <w:right w:val="none" w:sz="0" w:space="0" w:color="auto"/>
      </w:divBdr>
    </w:div>
    <w:div w:id="1822386468">
      <w:bodyDiv w:val="1"/>
      <w:marLeft w:val="0"/>
      <w:marRight w:val="0"/>
      <w:marTop w:val="0"/>
      <w:marBottom w:val="0"/>
      <w:divBdr>
        <w:top w:val="none" w:sz="0" w:space="0" w:color="auto"/>
        <w:left w:val="none" w:sz="0" w:space="0" w:color="auto"/>
        <w:bottom w:val="none" w:sz="0" w:space="0" w:color="auto"/>
        <w:right w:val="none" w:sz="0" w:space="0" w:color="auto"/>
      </w:divBdr>
    </w:div>
    <w:div w:id="1824003803">
      <w:bodyDiv w:val="1"/>
      <w:marLeft w:val="0"/>
      <w:marRight w:val="0"/>
      <w:marTop w:val="0"/>
      <w:marBottom w:val="0"/>
      <w:divBdr>
        <w:top w:val="none" w:sz="0" w:space="0" w:color="auto"/>
        <w:left w:val="none" w:sz="0" w:space="0" w:color="auto"/>
        <w:bottom w:val="none" w:sz="0" w:space="0" w:color="auto"/>
        <w:right w:val="none" w:sz="0" w:space="0" w:color="auto"/>
      </w:divBdr>
    </w:div>
    <w:div w:id="1832675181">
      <w:bodyDiv w:val="1"/>
      <w:marLeft w:val="0"/>
      <w:marRight w:val="0"/>
      <w:marTop w:val="0"/>
      <w:marBottom w:val="0"/>
      <w:divBdr>
        <w:top w:val="none" w:sz="0" w:space="0" w:color="auto"/>
        <w:left w:val="none" w:sz="0" w:space="0" w:color="auto"/>
        <w:bottom w:val="none" w:sz="0" w:space="0" w:color="auto"/>
        <w:right w:val="none" w:sz="0" w:space="0" w:color="auto"/>
      </w:divBdr>
    </w:div>
    <w:div w:id="1888301900">
      <w:bodyDiv w:val="1"/>
      <w:marLeft w:val="0"/>
      <w:marRight w:val="0"/>
      <w:marTop w:val="0"/>
      <w:marBottom w:val="0"/>
      <w:divBdr>
        <w:top w:val="none" w:sz="0" w:space="0" w:color="auto"/>
        <w:left w:val="none" w:sz="0" w:space="0" w:color="auto"/>
        <w:bottom w:val="none" w:sz="0" w:space="0" w:color="auto"/>
        <w:right w:val="none" w:sz="0" w:space="0" w:color="auto"/>
      </w:divBdr>
    </w:div>
    <w:div w:id="1925914411">
      <w:bodyDiv w:val="1"/>
      <w:marLeft w:val="0"/>
      <w:marRight w:val="0"/>
      <w:marTop w:val="0"/>
      <w:marBottom w:val="0"/>
      <w:divBdr>
        <w:top w:val="none" w:sz="0" w:space="0" w:color="auto"/>
        <w:left w:val="none" w:sz="0" w:space="0" w:color="auto"/>
        <w:bottom w:val="none" w:sz="0" w:space="0" w:color="auto"/>
        <w:right w:val="none" w:sz="0" w:space="0" w:color="auto"/>
      </w:divBdr>
      <w:divsChild>
        <w:div w:id="137379025">
          <w:marLeft w:val="0"/>
          <w:marRight w:val="0"/>
          <w:marTop w:val="0"/>
          <w:marBottom w:val="0"/>
          <w:divBdr>
            <w:top w:val="none" w:sz="0" w:space="0" w:color="auto"/>
            <w:left w:val="none" w:sz="0" w:space="0" w:color="auto"/>
            <w:bottom w:val="none" w:sz="0" w:space="0" w:color="auto"/>
            <w:right w:val="none" w:sz="0" w:space="0" w:color="auto"/>
          </w:divBdr>
        </w:div>
        <w:div w:id="582227172">
          <w:marLeft w:val="0"/>
          <w:marRight w:val="0"/>
          <w:marTop w:val="0"/>
          <w:marBottom w:val="0"/>
          <w:divBdr>
            <w:top w:val="none" w:sz="0" w:space="0" w:color="auto"/>
            <w:left w:val="none" w:sz="0" w:space="0" w:color="auto"/>
            <w:bottom w:val="none" w:sz="0" w:space="0" w:color="auto"/>
            <w:right w:val="none" w:sz="0" w:space="0" w:color="auto"/>
          </w:divBdr>
        </w:div>
        <w:div w:id="775172122">
          <w:marLeft w:val="0"/>
          <w:marRight w:val="0"/>
          <w:marTop w:val="0"/>
          <w:marBottom w:val="0"/>
          <w:divBdr>
            <w:top w:val="none" w:sz="0" w:space="0" w:color="auto"/>
            <w:left w:val="none" w:sz="0" w:space="0" w:color="auto"/>
            <w:bottom w:val="none" w:sz="0" w:space="0" w:color="auto"/>
            <w:right w:val="none" w:sz="0" w:space="0" w:color="auto"/>
          </w:divBdr>
        </w:div>
        <w:div w:id="1807502175">
          <w:marLeft w:val="0"/>
          <w:marRight w:val="0"/>
          <w:marTop w:val="0"/>
          <w:marBottom w:val="0"/>
          <w:divBdr>
            <w:top w:val="none" w:sz="0" w:space="0" w:color="auto"/>
            <w:left w:val="none" w:sz="0" w:space="0" w:color="auto"/>
            <w:bottom w:val="none" w:sz="0" w:space="0" w:color="auto"/>
            <w:right w:val="none" w:sz="0" w:space="0" w:color="auto"/>
          </w:divBdr>
        </w:div>
      </w:divsChild>
    </w:div>
    <w:div w:id="1932542393">
      <w:bodyDiv w:val="1"/>
      <w:marLeft w:val="0"/>
      <w:marRight w:val="0"/>
      <w:marTop w:val="0"/>
      <w:marBottom w:val="0"/>
      <w:divBdr>
        <w:top w:val="none" w:sz="0" w:space="0" w:color="auto"/>
        <w:left w:val="none" w:sz="0" w:space="0" w:color="auto"/>
        <w:bottom w:val="none" w:sz="0" w:space="0" w:color="auto"/>
        <w:right w:val="none" w:sz="0" w:space="0" w:color="auto"/>
      </w:divBdr>
    </w:div>
    <w:div w:id="2017030933">
      <w:bodyDiv w:val="1"/>
      <w:marLeft w:val="0"/>
      <w:marRight w:val="0"/>
      <w:marTop w:val="0"/>
      <w:marBottom w:val="0"/>
      <w:divBdr>
        <w:top w:val="none" w:sz="0" w:space="0" w:color="auto"/>
        <w:left w:val="none" w:sz="0" w:space="0" w:color="auto"/>
        <w:bottom w:val="none" w:sz="0" w:space="0" w:color="auto"/>
        <w:right w:val="none" w:sz="0" w:space="0" w:color="auto"/>
      </w:divBdr>
    </w:div>
    <w:div w:id="2030793675">
      <w:bodyDiv w:val="1"/>
      <w:marLeft w:val="0"/>
      <w:marRight w:val="0"/>
      <w:marTop w:val="0"/>
      <w:marBottom w:val="0"/>
      <w:divBdr>
        <w:top w:val="none" w:sz="0" w:space="0" w:color="auto"/>
        <w:left w:val="none" w:sz="0" w:space="0" w:color="auto"/>
        <w:bottom w:val="none" w:sz="0" w:space="0" w:color="auto"/>
        <w:right w:val="none" w:sz="0" w:space="0" w:color="auto"/>
      </w:divBdr>
    </w:div>
    <w:div w:id="207539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0E7C30D-F8F5-441F-AF4C-8D8EC9F4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2542</Words>
  <Characters>14493</Characters>
  <Application>Microsoft Office Word</Application>
  <DocSecurity>0</DocSecurity>
  <Lines>120</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17001</CharactersWithSpaces>
  <SharedDoc>false</SharedDoc>
  <HLinks>
    <vt:vector size="90" baseType="variant">
      <vt:variant>
        <vt:i4>1703994</vt:i4>
      </vt:variant>
      <vt:variant>
        <vt:i4>86</vt:i4>
      </vt:variant>
      <vt:variant>
        <vt:i4>0</vt:i4>
      </vt:variant>
      <vt:variant>
        <vt:i4>5</vt:i4>
      </vt:variant>
      <vt:variant>
        <vt:lpwstr/>
      </vt:variant>
      <vt:variant>
        <vt:lpwstr>_Toc55985939</vt:lpwstr>
      </vt:variant>
      <vt:variant>
        <vt:i4>1769530</vt:i4>
      </vt:variant>
      <vt:variant>
        <vt:i4>80</vt:i4>
      </vt:variant>
      <vt:variant>
        <vt:i4>0</vt:i4>
      </vt:variant>
      <vt:variant>
        <vt:i4>5</vt:i4>
      </vt:variant>
      <vt:variant>
        <vt:lpwstr/>
      </vt:variant>
      <vt:variant>
        <vt:lpwstr>_Toc55985938</vt:lpwstr>
      </vt:variant>
      <vt:variant>
        <vt:i4>1310778</vt:i4>
      </vt:variant>
      <vt:variant>
        <vt:i4>74</vt:i4>
      </vt:variant>
      <vt:variant>
        <vt:i4>0</vt:i4>
      </vt:variant>
      <vt:variant>
        <vt:i4>5</vt:i4>
      </vt:variant>
      <vt:variant>
        <vt:lpwstr/>
      </vt:variant>
      <vt:variant>
        <vt:lpwstr>_Toc55985937</vt:lpwstr>
      </vt:variant>
      <vt:variant>
        <vt:i4>1376314</vt:i4>
      </vt:variant>
      <vt:variant>
        <vt:i4>68</vt:i4>
      </vt:variant>
      <vt:variant>
        <vt:i4>0</vt:i4>
      </vt:variant>
      <vt:variant>
        <vt:i4>5</vt:i4>
      </vt:variant>
      <vt:variant>
        <vt:lpwstr/>
      </vt:variant>
      <vt:variant>
        <vt:lpwstr>_Toc55985936</vt:lpwstr>
      </vt:variant>
      <vt:variant>
        <vt:i4>1441850</vt:i4>
      </vt:variant>
      <vt:variant>
        <vt:i4>62</vt:i4>
      </vt:variant>
      <vt:variant>
        <vt:i4>0</vt:i4>
      </vt:variant>
      <vt:variant>
        <vt:i4>5</vt:i4>
      </vt:variant>
      <vt:variant>
        <vt:lpwstr/>
      </vt:variant>
      <vt:variant>
        <vt:lpwstr>_Toc55985935</vt:lpwstr>
      </vt:variant>
      <vt:variant>
        <vt:i4>1507386</vt:i4>
      </vt:variant>
      <vt:variant>
        <vt:i4>56</vt:i4>
      </vt:variant>
      <vt:variant>
        <vt:i4>0</vt:i4>
      </vt:variant>
      <vt:variant>
        <vt:i4>5</vt:i4>
      </vt:variant>
      <vt:variant>
        <vt:lpwstr/>
      </vt:variant>
      <vt:variant>
        <vt:lpwstr>_Toc55985934</vt:lpwstr>
      </vt:variant>
      <vt:variant>
        <vt:i4>1048634</vt:i4>
      </vt:variant>
      <vt:variant>
        <vt:i4>50</vt:i4>
      </vt:variant>
      <vt:variant>
        <vt:i4>0</vt:i4>
      </vt:variant>
      <vt:variant>
        <vt:i4>5</vt:i4>
      </vt:variant>
      <vt:variant>
        <vt:lpwstr/>
      </vt:variant>
      <vt:variant>
        <vt:lpwstr>_Toc55985933</vt:lpwstr>
      </vt:variant>
      <vt:variant>
        <vt:i4>1114170</vt:i4>
      </vt:variant>
      <vt:variant>
        <vt:i4>44</vt:i4>
      </vt:variant>
      <vt:variant>
        <vt:i4>0</vt:i4>
      </vt:variant>
      <vt:variant>
        <vt:i4>5</vt:i4>
      </vt:variant>
      <vt:variant>
        <vt:lpwstr/>
      </vt:variant>
      <vt:variant>
        <vt:lpwstr>_Toc55985932</vt:lpwstr>
      </vt:variant>
      <vt:variant>
        <vt:i4>1179706</vt:i4>
      </vt:variant>
      <vt:variant>
        <vt:i4>38</vt:i4>
      </vt:variant>
      <vt:variant>
        <vt:i4>0</vt:i4>
      </vt:variant>
      <vt:variant>
        <vt:i4>5</vt:i4>
      </vt:variant>
      <vt:variant>
        <vt:lpwstr/>
      </vt:variant>
      <vt:variant>
        <vt:lpwstr>_Toc55985931</vt:lpwstr>
      </vt:variant>
      <vt:variant>
        <vt:i4>1245242</vt:i4>
      </vt:variant>
      <vt:variant>
        <vt:i4>32</vt:i4>
      </vt:variant>
      <vt:variant>
        <vt:i4>0</vt:i4>
      </vt:variant>
      <vt:variant>
        <vt:i4>5</vt:i4>
      </vt:variant>
      <vt:variant>
        <vt:lpwstr/>
      </vt:variant>
      <vt:variant>
        <vt:lpwstr>_Toc55985930</vt:lpwstr>
      </vt:variant>
      <vt:variant>
        <vt:i4>1703995</vt:i4>
      </vt:variant>
      <vt:variant>
        <vt:i4>26</vt:i4>
      </vt:variant>
      <vt:variant>
        <vt:i4>0</vt:i4>
      </vt:variant>
      <vt:variant>
        <vt:i4>5</vt:i4>
      </vt:variant>
      <vt:variant>
        <vt:lpwstr/>
      </vt:variant>
      <vt:variant>
        <vt:lpwstr>_Toc55985929</vt:lpwstr>
      </vt:variant>
      <vt:variant>
        <vt:i4>1769531</vt:i4>
      </vt:variant>
      <vt:variant>
        <vt:i4>20</vt:i4>
      </vt:variant>
      <vt:variant>
        <vt:i4>0</vt:i4>
      </vt:variant>
      <vt:variant>
        <vt:i4>5</vt:i4>
      </vt:variant>
      <vt:variant>
        <vt:lpwstr/>
      </vt:variant>
      <vt:variant>
        <vt:lpwstr>_Toc55985928</vt:lpwstr>
      </vt:variant>
      <vt:variant>
        <vt:i4>1310779</vt:i4>
      </vt:variant>
      <vt:variant>
        <vt:i4>14</vt:i4>
      </vt:variant>
      <vt:variant>
        <vt:i4>0</vt:i4>
      </vt:variant>
      <vt:variant>
        <vt:i4>5</vt:i4>
      </vt:variant>
      <vt:variant>
        <vt:lpwstr/>
      </vt:variant>
      <vt:variant>
        <vt:lpwstr>_Toc55985927</vt:lpwstr>
      </vt:variant>
      <vt:variant>
        <vt:i4>1376315</vt:i4>
      </vt:variant>
      <vt:variant>
        <vt:i4>8</vt:i4>
      </vt:variant>
      <vt:variant>
        <vt:i4>0</vt:i4>
      </vt:variant>
      <vt:variant>
        <vt:i4>5</vt:i4>
      </vt:variant>
      <vt:variant>
        <vt:lpwstr/>
      </vt:variant>
      <vt:variant>
        <vt:lpwstr>_Toc55985926</vt:lpwstr>
      </vt:variant>
      <vt:variant>
        <vt:i4>1441851</vt:i4>
      </vt:variant>
      <vt:variant>
        <vt:i4>2</vt:i4>
      </vt:variant>
      <vt:variant>
        <vt:i4>0</vt:i4>
      </vt:variant>
      <vt:variant>
        <vt:i4>5</vt:i4>
      </vt:variant>
      <vt:variant>
        <vt:lpwstr/>
      </vt:variant>
      <vt:variant>
        <vt:lpwstr>_Toc55985925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GTI Build</dc:creator>
  <cp:keywords/>
  <dc:description/>
  <cp:lastModifiedBy>Büşra DEMİRCİOĞLU</cp:lastModifiedBy>
  <cp:revision>3</cp:revision>
  <cp:lastPrinted>2022-10-24T12:10:00Z</cp:lastPrinted>
  <dcterms:created xsi:type="dcterms:W3CDTF">2023-11-01T12:43:00Z</dcterms:created>
  <dcterms:modified xsi:type="dcterms:W3CDTF">2023-11-06T09:07:00Z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